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07725" w14:textId="77777777" w:rsidR="00787CDD" w:rsidRPr="00D450D2" w:rsidRDefault="00787CDD" w:rsidP="00787CDD">
      <w:pPr>
        <w:spacing w:after="360"/>
        <w:jc w:val="center"/>
        <w:rPr>
          <w:color w:val="2A326C"/>
          <w:sz w:val="40"/>
          <w:szCs w:val="40"/>
        </w:rPr>
      </w:pPr>
      <w:r w:rsidRPr="00D450D2">
        <w:rPr>
          <w:color w:val="2A326C"/>
          <w:sz w:val="40"/>
          <w:szCs w:val="40"/>
        </w:rPr>
        <w:t xml:space="preserve">Aide-mémoire </w:t>
      </w:r>
      <w:r>
        <w:rPr>
          <w:color w:val="2A326C"/>
          <w:sz w:val="40"/>
          <w:szCs w:val="40"/>
        </w:rPr>
        <w:t xml:space="preserve">de </w:t>
      </w:r>
      <w:proofErr w:type="spellStart"/>
      <w:r>
        <w:rPr>
          <w:color w:val="2A326C"/>
          <w:sz w:val="40"/>
          <w:szCs w:val="40"/>
        </w:rPr>
        <w:t>la</w:t>
      </w:r>
      <w:proofErr w:type="spellEnd"/>
      <w:r>
        <w:rPr>
          <w:color w:val="2A326C"/>
          <w:sz w:val="40"/>
          <w:szCs w:val="40"/>
        </w:rPr>
        <w:t xml:space="preserve"> ou </w:t>
      </w:r>
      <w:r w:rsidRPr="00D450D2">
        <w:rPr>
          <w:color w:val="2A326C"/>
          <w:sz w:val="40"/>
          <w:szCs w:val="40"/>
        </w:rPr>
        <w:t>du secrétaire du comité de sélection</w:t>
      </w:r>
    </w:p>
    <w:p w14:paraId="2AE7757F" w14:textId="77777777" w:rsidR="00787CDD" w:rsidRPr="00D450D2" w:rsidRDefault="00787CDD" w:rsidP="00787CDD">
      <w:pPr>
        <w:widowControl w:val="0"/>
        <w:jc w:val="both"/>
        <w:rPr>
          <w:b/>
          <w:bCs/>
          <w:i/>
          <w:iCs/>
          <w:color w:val="2FB7C2"/>
        </w:rPr>
      </w:pPr>
      <w:r w:rsidRPr="00D450D2">
        <w:rPr>
          <w:b/>
          <w:bCs/>
          <w:i/>
          <w:iCs/>
          <w:color w:val="2FB7C2"/>
        </w:rPr>
        <w:t>Liste de vérification pendant la tenue du comité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0"/>
        <w:gridCol w:w="1620"/>
      </w:tblGrid>
      <w:tr w:rsidR="00787CDD" w14:paraId="420CB93A" w14:textId="77777777" w:rsidTr="00B91272">
        <w:trPr>
          <w:trHeight w:val="227"/>
          <w:jc w:val="center"/>
        </w:trPr>
        <w:tc>
          <w:tcPr>
            <w:tcW w:w="8164" w:type="dxa"/>
            <w:shd w:val="clear" w:color="auto" w:fill="E7F7F9"/>
            <w:vAlign w:val="center"/>
          </w:tcPr>
          <w:p w14:paraId="0C9365AD" w14:textId="77777777" w:rsidR="00787CDD" w:rsidRPr="00D450D2" w:rsidRDefault="00787CDD" w:rsidP="00FE0BB7">
            <w:pPr>
              <w:pStyle w:val="Style10ptJustifi"/>
              <w:widowControl w:val="0"/>
              <w:spacing w:before="60" w:after="60"/>
              <w:rPr>
                <w:b/>
                <w:bCs/>
              </w:rPr>
            </w:pPr>
            <w:r w:rsidRPr="00D450D2">
              <w:rPr>
                <w:b/>
                <w:bCs/>
              </w:rPr>
              <w:t>Préparation du dossier d’analyse des offres pour le comité de sélection</w:t>
            </w:r>
          </w:p>
        </w:tc>
        <w:tc>
          <w:tcPr>
            <w:tcW w:w="1888" w:type="dxa"/>
            <w:shd w:val="clear" w:color="auto" w:fill="E7F7F9"/>
            <w:vAlign w:val="center"/>
          </w:tcPr>
          <w:p w14:paraId="0DB05DD7" w14:textId="77777777" w:rsidR="00787CDD" w:rsidRPr="004F2535" w:rsidRDefault="00787CDD" w:rsidP="00FE0BB7">
            <w:pPr>
              <w:pStyle w:val="Style10ptJustifi"/>
              <w:widowControl w:val="0"/>
              <w:spacing w:before="60" w:after="60"/>
              <w:jc w:val="center"/>
            </w:pPr>
          </w:p>
        </w:tc>
      </w:tr>
      <w:tr w:rsidR="00787CDD" w14:paraId="2CCB9729" w14:textId="77777777" w:rsidTr="00B91272">
        <w:trPr>
          <w:trHeight w:val="227"/>
          <w:jc w:val="center"/>
        </w:trPr>
        <w:tc>
          <w:tcPr>
            <w:tcW w:w="8164" w:type="dxa"/>
            <w:vAlign w:val="center"/>
          </w:tcPr>
          <w:p w14:paraId="7D2AC1C7" w14:textId="77777777" w:rsidR="00787CDD" w:rsidRPr="004F2535" w:rsidRDefault="00787CDD" w:rsidP="00FE0BB7">
            <w:pPr>
              <w:pStyle w:val="Style10ptJustifi"/>
              <w:widowControl w:val="0"/>
              <w:spacing w:before="60" w:after="60"/>
            </w:pPr>
            <w:r w:rsidRPr="00D450D2">
              <w:t>Les documents d’appel d’offres et tous les addendas</w:t>
            </w:r>
          </w:p>
        </w:tc>
        <w:sdt>
          <w:sdtPr>
            <w:id w:val="-349722891"/>
            <w14:checkbox>
              <w14:checked w14:val="0"/>
              <w14:checkedState w14:val="2612" w14:font="MS Gothic"/>
              <w14:uncheckedState w14:val="2610" w14:font="MS Gothic"/>
            </w14:checkbox>
          </w:sdtPr>
          <w:sdtEndPr/>
          <w:sdtContent>
            <w:tc>
              <w:tcPr>
                <w:tcW w:w="1888" w:type="dxa"/>
                <w:vAlign w:val="center"/>
              </w:tcPr>
              <w:p w14:paraId="6C58FC15"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3FCBFE77" w14:textId="77777777" w:rsidTr="00B91272">
        <w:trPr>
          <w:trHeight w:val="227"/>
          <w:jc w:val="center"/>
        </w:trPr>
        <w:tc>
          <w:tcPr>
            <w:tcW w:w="8164" w:type="dxa"/>
            <w:vAlign w:val="center"/>
          </w:tcPr>
          <w:p w14:paraId="1972B82B" w14:textId="77777777" w:rsidR="00787CDD" w:rsidRPr="004F2535" w:rsidRDefault="00787CDD" w:rsidP="00FE0BB7">
            <w:pPr>
              <w:pStyle w:val="Style10ptJustifi"/>
              <w:widowControl w:val="0"/>
              <w:spacing w:before="60" w:after="60"/>
            </w:pPr>
            <w:r w:rsidRPr="00D450D2">
              <w:t>Les éléments de non-conformité et les critères de qualité extraits du document d’appel d’offres</w:t>
            </w:r>
          </w:p>
        </w:tc>
        <w:sdt>
          <w:sdtPr>
            <w:id w:val="-484159190"/>
            <w14:checkbox>
              <w14:checked w14:val="0"/>
              <w14:checkedState w14:val="2612" w14:font="MS Gothic"/>
              <w14:uncheckedState w14:val="2610" w14:font="MS Gothic"/>
            </w14:checkbox>
          </w:sdtPr>
          <w:sdtEndPr/>
          <w:sdtContent>
            <w:tc>
              <w:tcPr>
                <w:tcW w:w="1888" w:type="dxa"/>
                <w:vAlign w:val="center"/>
              </w:tcPr>
              <w:p w14:paraId="61100CE8"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4B6881F7" w14:textId="77777777" w:rsidTr="00B91272">
        <w:trPr>
          <w:trHeight w:val="227"/>
          <w:jc w:val="center"/>
        </w:trPr>
        <w:tc>
          <w:tcPr>
            <w:tcW w:w="8164" w:type="dxa"/>
            <w:vAlign w:val="center"/>
          </w:tcPr>
          <w:p w14:paraId="0FEE0170" w14:textId="77777777" w:rsidR="00787CDD" w:rsidRPr="004F2535" w:rsidRDefault="00787CDD" w:rsidP="00FE0BB7">
            <w:pPr>
              <w:pStyle w:val="Style10ptJustifi"/>
              <w:widowControl w:val="0"/>
              <w:spacing w:before="60" w:after="60"/>
            </w:pPr>
            <w:r w:rsidRPr="00D450D2">
              <w:t>La grille d’analyse et l’échelle d’attribution des notes</w:t>
            </w:r>
          </w:p>
        </w:tc>
        <w:sdt>
          <w:sdtPr>
            <w:id w:val="-1838455855"/>
            <w14:checkbox>
              <w14:checked w14:val="0"/>
              <w14:checkedState w14:val="2612" w14:font="MS Gothic"/>
              <w14:uncheckedState w14:val="2610" w14:font="MS Gothic"/>
            </w14:checkbox>
          </w:sdtPr>
          <w:sdtEndPr/>
          <w:sdtContent>
            <w:tc>
              <w:tcPr>
                <w:tcW w:w="1888" w:type="dxa"/>
                <w:vAlign w:val="center"/>
              </w:tcPr>
              <w:p w14:paraId="38B9CFDF"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2AC62E3C" w14:textId="77777777" w:rsidTr="00B91272">
        <w:trPr>
          <w:trHeight w:val="227"/>
          <w:jc w:val="center"/>
        </w:trPr>
        <w:tc>
          <w:tcPr>
            <w:tcW w:w="8164" w:type="dxa"/>
            <w:shd w:val="clear" w:color="auto" w:fill="E7F7F9"/>
            <w:vAlign w:val="center"/>
          </w:tcPr>
          <w:p w14:paraId="034EC66A" w14:textId="77777777" w:rsidR="00787CDD" w:rsidRPr="00D450D2" w:rsidRDefault="00787CDD" w:rsidP="00FE0BB7">
            <w:pPr>
              <w:pStyle w:val="Style10ptJustifi"/>
              <w:widowControl w:val="0"/>
              <w:spacing w:before="60" w:after="60"/>
              <w:rPr>
                <w:b/>
                <w:bCs/>
              </w:rPr>
            </w:pPr>
            <w:r w:rsidRPr="00D450D2">
              <w:rPr>
                <w:b/>
                <w:bCs/>
              </w:rPr>
              <w:t>Rencontre préliminaire des membres du comité</w:t>
            </w:r>
          </w:p>
        </w:tc>
        <w:tc>
          <w:tcPr>
            <w:tcW w:w="1888" w:type="dxa"/>
            <w:shd w:val="clear" w:color="auto" w:fill="E7F7F9"/>
            <w:vAlign w:val="center"/>
          </w:tcPr>
          <w:p w14:paraId="001E7048" w14:textId="77777777" w:rsidR="00787CDD" w:rsidRPr="004F2535" w:rsidRDefault="00787CDD" w:rsidP="00FE0BB7">
            <w:pPr>
              <w:pStyle w:val="Style10ptJustifi"/>
              <w:widowControl w:val="0"/>
              <w:spacing w:before="60" w:after="60"/>
              <w:jc w:val="center"/>
            </w:pPr>
          </w:p>
        </w:tc>
      </w:tr>
      <w:tr w:rsidR="00787CDD" w14:paraId="04DCAC1A" w14:textId="77777777" w:rsidTr="00B91272">
        <w:trPr>
          <w:trHeight w:val="227"/>
          <w:jc w:val="center"/>
        </w:trPr>
        <w:tc>
          <w:tcPr>
            <w:tcW w:w="8164" w:type="dxa"/>
            <w:shd w:val="clear" w:color="auto" w:fill="FFFFFF" w:themeFill="background1"/>
            <w:vAlign w:val="center"/>
          </w:tcPr>
          <w:p w14:paraId="0FE8877D" w14:textId="77777777" w:rsidR="00787CDD" w:rsidRPr="004F2535" w:rsidRDefault="00787CDD" w:rsidP="00FE0BB7">
            <w:pPr>
              <w:pStyle w:val="Style10ptJustifi"/>
              <w:widowControl w:val="0"/>
              <w:spacing w:before="60" w:after="60"/>
            </w:pPr>
            <w:r w:rsidRPr="00D450D2">
              <w:t>S’assurer d’avoir obtenu tous les formulaires d’engagement solennel signés par les membres</w:t>
            </w:r>
          </w:p>
        </w:tc>
        <w:sdt>
          <w:sdtPr>
            <w:id w:val="-2038192477"/>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66A28BDE"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76AE0E94" w14:textId="77777777" w:rsidTr="00B91272">
        <w:trPr>
          <w:trHeight w:val="227"/>
          <w:jc w:val="center"/>
        </w:trPr>
        <w:tc>
          <w:tcPr>
            <w:tcW w:w="8164" w:type="dxa"/>
            <w:shd w:val="clear" w:color="auto" w:fill="FFFFFF" w:themeFill="background1"/>
            <w:vAlign w:val="center"/>
          </w:tcPr>
          <w:p w14:paraId="20C31CDE" w14:textId="77777777" w:rsidR="00787CDD" w:rsidRPr="004F2535" w:rsidRDefault="00787CDD" w:rsidP="00FE0BB7">
            <w:pPr>
              <w:pStyle w:val="Style10ptJustifi"/>
              <w:widowControl w:val="0"/>
              <w:spacing w:before="60" w:after="60"/>
            </w:pPr>
            <w:r w:rsidRPr="00D450D2">
              <w:t>S’assurer de nouveau qu’il n’y a pas de conflit d’intérêts avec les soumissionnaires en lice</w:t>
            </w:r>
          </w:p>
        </w:tc>
        <w:sdt>
          <w:sdtPr>
            <w:id w:val="-242261756"/>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783725B2"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025CA156" w14:textId="77777777" w:rsidTr="00B91272">
        <w:trPr>
          <w:trHeight w:val="227"/>
          <w:jc w:val="center"/>
        </w:trPr>
        <w:tc>
          <w:tcPr>
            <w:tcW w:w="8164" w:type="dxa"/>
            <w:shd w:val="clear" w:color="auto" w:fill="FFFFFF" w:themeFill="background1"/>
            <w:vAlign w:val="center"/>
          </w:tcPr>
          <w:p w14:paraId="0E7239C8" w14:textId="77777777" w:rsidR="00787CDD" w:rsidRPr="004F2535" w:rsidRDefault="00787CDD" w:rsidP="00FE0BB7">
            <w:pPr>
              <w:pStyle w:val="Style10ptJustifi"/>
              <w:widowControl w:val="0"/>
              <w:spacing w:before="60" w:after="60"/>
            </w:pPr>
            <w:r w:rsidRPr="00D450D2">
              <w:t xml:space="preserve">Remettre les documents sur les responsabilités des membres et </w:t>
            </w:r>
            <w:r>
              <w:t xml:space="preserve">de </w:t>
            </w:r>
            <w:proofErr w:type="spellStart"/>
            <w:r>
              <w:t>la</w:t>
            </w:r>
            <w:proofErr w:type="spellEnd"/>
            <w:r>
              <w:t xml:space="preserve"> ou</w:t>
            </w:r>
            <w:r w:rsidRPr="00D450D2">
              <w:t xml:space="preserve"> du secrétaire</w:t>
            </w:r>
          </w:p>
        </w:tc>
        <w:sdt>
          <w:sdtPr>
            <w:id w:val="1265658720"/>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4F1F646E"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61EC64B1" w14:textId="77777777" w:rsidTr="00B91272">
        <w:trPr>
          <w:trHeight w:val="227"/>
          <w:jc w:val="center"/>
        </w:trPr>
        <w:tc>
          <w:tcPr>
            <w:tcW w:w="8164" w:type="dxa"/>
            <w:shd w:val="clear" w:color="auto" w:fill="FFFFFF" w:themeFill="background1"/>
            <w:vAlign w:val="center"/>
          </w:tcPr>
          <w:p w14:paraId="36A61DC2" w14:textId="77777777" w:rsidR="00787CDD" w:rsidRPr="004F2535" w:rsidRDefault="00787CDD" w:rsidP="00FE0BB7">
            <w:pPr>
              <w:pStyle w:val="Style10ptJustifi"/>
              <w:widowControl w:val="0"/>
              <w:spacing w:before="60" w:after="60"/>
            </w:pPr>
            <w:r>
              <w:t>Rappeler l’obligation et l’importance de procéder séparément à l’analyse des offres au moyen de la «</w:t>
            </w:r>
            <w:r>
              <w:rPr>
                <w:rFonts w:ascii="Times New Roman" w:hAnsi="Times New Roman"/>
              </w:rPr>
              <w:t> </w:t>
            </w:r>
            <w:r>
              <w:t>grille d</w:t>
            </w:r>
            <w:r>
              <w:rPr>
                <w:rFonts w:cs="Barlow"/>
              </w:rPr>
              <w:t>’</w:t>
            </w:r>
            <w:r>
              <w:t>analyse</w:t>
            </w:r>
            <w:r>
              <w:rPr>
                <w:rFonts w:ascii="Times New Roman" w:hAnsi="Times New Roman"/>
              </w:rPr>
              <w:t> </w:t>
            </w:r>
            <w:r>
              <w:rPr>
                <w:rFonts w:cs="Barlow"/>
              </w:rPr>
              <w:t>»</w:t>
            </w:r>
          </w:p>
        </w:tc>
        <w:sdt>
          <w:sdtPr>
            <w:id w:val="2041476835"/>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1DD07A31"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64B28A0F" w14:textId="77777777" w:rsidTr="00B91272">
        <w:trPr>
          <w:trHeight w:val="227"/>
          <w:jc w:val="center"/>
        </w:trPr>
        <w:tc>
          <w:tcPr>
            <w:tcW w:w="8164" w:type="dxa"/>
            <w:shd w:val="clear" w:color="auto" w:fill="FFFFFF" w:themeFill="background1"/>
            <w:vAlign w:val="center"/>
          </w:tcPr>
          <w:p w14:paraId="44DFD1A9" w14:textId="77777777" w:rsidR="00787CDD" w:rsidRPr="004F2535" w:rsidRDefault="00787CDD" w:rsidP="00FE0BB7">
            <w:pPr>
              <w:pStyle w:val="Style10ptJustifi"/>
              <w:widowControl w:val="0"/>
              <w:spacing w:before="60" w:after="60"/>
            </w:pPr>
            <w:r w:rsidRPr="00D450D2">
              <w:t>Remettre le dossier d’analyse des offres et les soumissions jugées conformes</w:t>
            </w:r>
          </w:p>
        </w:tc>
        <w:sdt>
          <w:sdtPr>
            <w:id w:val="361165648"/>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597B27CB"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6A9B2378" w14:textId="77777777" w:rsidTr="00B91272">
        <w:trPr>
          <w:trHeight w:val="227"/>
          <w:jc w:val="center"/>
        </w:trPr>
        <w:tc>
          <w:tcPr>
            <w:tcW w:w="8164" w:type="dxa"/>
            <w:shd w:val="clear" w:color="auto" w:fill="FFFFFF" w:themeFill="background1"/>
            <w:vAlign w:val="center"/>
          </w:tcPr>
          <w:p w14:paraId="30675032" w14:textId="77777777" w:rsidR="00787CDD" w:rsidRPr="004F2535" w:rsidRDefault="00787CDD" w:rsidP="00FE0BB7">
            <w:pPr>
              <w:pStyle w:val="Style10ptJustifi"/>
              <w:widowControl w:val="0"/>
              <w:spacing w:before="60" w:after="60"/>
            </w:pPr>
            <w:r w:rsidRPr="00D450D2">
              <w:t>Expliquer les consignes d’évaluation selon la procédure d’attribution des offres. Rappeler les règles de base d</w:t>
            </w:r>
            <w:r>
              <w:t>e l</w:t>
            </w:r>
            <w:r w:rsidRPr="00D450D2">
              <w:t>’évaluation par critère et expliquer l’échelle d’attribution des points</w:t>
            </w:r>
          </w:p>
        </w:tc>
        <w:sdt>
          <w:sdtPr>
            <w:id w:val="414910308"/>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067C537A"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7A371B68" w14:textId="77777777" w:rsidTr="00B91272">
        <w:trPr>
          <w:trHeight w:val="227"/>
          <w:jc w:val="center"/>
        </w:trPr>
        <w:tc>
          <w:tcPr>
            <w:tcW w:w="8164" w:type="dxa"/>
            <w:shd w:val="clear" w:color="auto" w:fill="FFFFFF" w:themeFill="background1"/>
            <w:vAlign w:val="center"/>
          </w:tcPr>
          <w:p w14:paraId="5CAC9C9E" w14:textId="77777777" w:rsidR="00787CDD" w:rsidRPr="004F2535" w:rsidRDefault="00787CDD" w:rsidP="00FE0BB7">
            <w:pPr>
              <w:pStyle w:val="Style10ptJustifi"/>
              <w:widowControl w:val="0"/>
              <w:spacing w:before="60" w:after="60"/>
            </w:pPr>
            <w:r w:rsidRPr="00D450D2">
              <w:t>Réviser la définition de chaque critère (et sous-critère)</w:t>
            </w:r>
          </w:p>
        </w:tc>
        <w:sdt>
          <w:sdtPr>
            <w:id w:val="-1399981322"/>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6501340F"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18F5EF8F" w14:textId="77777777" w:rsidTr="00B91272">
        <w:trPr>
          <w:trHeight w:val="227"/>
          <w:jc w:val="center"/>
        </w:trPr>
        <w:tc>
          <w:tcPr>
            <w:tcW w:w="8164" w:type="dxa"/>
            <w:shd w:val="clear" w:color="auto" w:fill="FFFFFF" w:themeFill="background1"/>
            <w:vAlign w:val="center"/>
          </w:tcPr>
          <w:p w14:paraId="2F235D91" w14:textId="77777777" w:rsidR="00787CDD" w:rsidRPr="004F2535" w:rsidRDefault="00787CDD" w:rsidP="00FE0BB7">
            <w:pPr>
              <w:pStyle w:val="Style10ptJustifi"/>
              <w:widowControl w:val="0"/>
              <w:spacing w:before="60" w:after="60"/>
            </w:pPr>
            <w:r w:rsidRPr="00D450D2">
              <w:t>Réviser les éléments de non-conformité</w:t>
            </w:r>
          </w:p>
        </w:tc>
        <w:sdt>
          <w:sdtPr>
            <w:id w:val="-1470352707"/>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7AC95605"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7B927658" w14:textId="77777777" w:rsidTr="00B91272">
        <w:trPr>
          <w:trHeight w:val="227"/>
          <w:jc w:val="center"/>
        </w:trPr>
        <w:tc>
          <w:tcPr>
            <w:tcW w:w="8164" w:type="dxa"/>
            <w:shd w:val="clear" w:color="auto" w:fill="FFFFFF" w:themeFill="background1"/>
            <w:vAlign w:val="center"/>
          </w:tcPr>
          <w:p w14:paraId="2DF41099" w14:textId="77777777" w:rsidR="00787CDD" w:rsidRPr="004F2535" w:rsidRDefault="00787CDD" w:rsidP="00FE0BB7">
            <w:pPr>
              <w:pStyle w:val="Style10ptJustifi"/>
              <w:widowControl w:val="0"/>
              <w:spacing w:before="60" w:after="60"/>
            </w:pPr>
            <w:r w:rsidRPr="00D450D2">
              <w:t>Aviser que toutes les questions relatives aux offres doivent être adressées au secrétaire et que l</w:t>
            </w:r>
            <w:r>
              <w:t>a personne</w:t>
            </w:r>
            <w:r w:rsidRPr="00D450D2">
              <w:t xml:space="preserve"> responsable de </w:t>
            </w:r>
            <w:r>
              <w:t xml:space="preserve">la procédure ouverte </w:t>
            </w:r>
            <w:r w:rsidRPr="00D450D2">
              <w:t>est l</w:t>
            </w:r>
            <w:r>
              <w:t>a</w:t>
            </w:r>
            <w:r w:rsidRPr="00D450D2">
              <w:t xml:space="preserve"> seul</w:t>
            </w:r>
            <w:r>
              <w:t>e</w:t>
            </w:r>
            <w:r w:rsidRPr="00D450D2">
              <w:t xml:space="preserve"> à communiquer avec les soumissionnaires</w:t>
            </w:r>
          </w:p>
        </w:tc>
        <w:sdt>
          <w:sdtPr>
            <w:id w:val="-2137401672"/>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072D9AA6"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34FD8EBD" w14:textId="77777777" w:rsidTr="00B91272">
        <w:trPr>
          <w:trHeight w:val="227"/>
          <w:jc w:val="center"/>
        </w:trPr>
        <w:tc>
          <w:tcPr>
            <w:tcW w:w="8164" w:type="dxa"/>
            <w:shd w:val="clear" w:color="auto" w:fill="E7F7F9"/>
            <w:vAlign w:val="center"/>
          </w:tcPr>
          <w:p w14:paraId="3CD2F5F8" w14:textId="77777777" w:rsidR="00787CDD" w:rsidRPr="00D450D2" w:rsidRDefault="00787CDD" w:rsidP="00FE0BB7">
            <w:pPr>
              <w:pStyle w:val="Style10ptJustifi"/>
              <w:widowControl w:val="0"/>
              <w:spacing w:before="60" w:after="60"/>
              <w:rPr>
                <w:b/>
                <w:bCs/>
              </w:rPr>
            </w:pPr>
            <w:r w:rsidRPr="00D450D2">
              <w:rPr>
                <w:b/>
                <w:bCs/>
              </w:rPr>
              <w:t>Préparation des documents de soutien pour le travail du comité</w:t>
            </w:r>
          </w:p>
        </w:tc>
        <w:tc>
          <w:tcPr>
            <w:tcW w:w="1888" w:type="dxa"/>
            <w:shd w:val="clear" w:color="auto" w:fill="E7F7F9"/>
            <w:vAlign w:val="center"/>
          </w:tcPr>
          <w:p w14:paraId="0433096F" w14:textId="77777777" w:rsidR="00787CDD" w:rsidRPr="004F2535" w:rsidRDefault="00787CDD" w:rsidP="00FE0BB7">
            <w:pPr>
              <w:pStyle w:val="Style10ptJustifi"/>
              <w:widowControl w:val="0"/>
              <w:spacing w:before="60" w:after="60"/>
              <w:jc w:val="center"/>
            </w:pPr>
          </w:p>
        </w:tc>
      </w:tr>
      <w:tr w:rsidR="00787CDD" w14:paraId="2009F8F6" w14:textId="77777777" w:rsidTr="00B91272">
        <w:trPr>
          <w:trHeight w:val="227"/>
          <w:jc w:val="center"/>
        </w:trPr>
        <w:tc>
          <w:tcPr>
            <w:tcW w:w="8164" w:type="dxa"/>
            <w:shd w:val="clear" w:color="auto" w:fill="FFFFFF" w:themeFill="background1"/>
            <w:vAlign w:val="center"/>
          </w:tcPr>
          <w:p w14:paraId="7E59B0F6" w14:textId="77777777" w:rsidR="00787CDD" w:rsidRPr="004F2535" w:rsidRDefault="00787CDD" w:rsidP="00FE0BB7">
            <w:pPr>
              <w:pStyle w:val="Style10ptJustifi"/>
              <w:widowControl w:val="0"/>
              <w:spacing w:before="60" w:after="60"/>
            </w:pPr>
            <w:r>
              <w:t xml:space="preserve">Personnaliser la grille d’évaluation utilisée par </w:t>
            </w:r>
            <w:proofErr w:type="spellStart"/>
            <w:r>
              <w:t>la</w:t>
            </w:r>
            <w:proofErr w:type="spellEnd"/>
            <w:r>
              <w:t xml:space="preserve"> ou le secrétaire du comité pour noter les points forts et les points faibles identifiés par les membres pour chacune des soumissions en fonction des soumissionnaires à évaluer, des critères de sélection et des taux de pondération prévus</w:t>
            </w:r>
          </w:p>
        </w:tc>
        <w:sdt>
          <w:sdtPr>
            <w:id w:val="-1081205727"/>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51E6D86F"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46D1DD66" w14:textId="77777777" w:rsidTr="00B91272">
        <w:trPr>
          <w:trHeight w:val="227"/>
          <w:jc w:val="center"/>
        </w:trPr>
        <w:tc>
          <w:tcPr>
            <w:tcW w:w="8164" w:type="dxa"/>
            <w:shd w:val="clear" w:color="auto" w:fill="FFFFFF" w:themeFill="background1"/>
            <w:vAlign w:val="center"/>
          </w:tcPr>
          <w:p w14:paraId="39A0B8A7" w14:textId="77777777" w:rsidR="00787CDD" w:rsidRPr="004F2535" w:rsidRDefault="00787CDD" w:rsidP="00FE0BB7">
            <w:pPr>
              <w:pStyle w:val="Style10ptJustifi"/>
              <w:widowControl w:val="0"/>
              <w:spacing w:before="60" w:after="60"/>
            </w:pPr>
            <w:r w:rsidRPr="00C63A1E">
              <w:t>Personnaliser le rapport du comité de sélection en fonction des informations disponibles avant la tenue du comité</w:t>
            </w:r>
          </w:p>
        </w:tc>
        <w:sdt>
          <w:sdtPr>
            <w:id w:val="-555856845"/>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65D8BCDA"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7A300A61" w14:textId="77777777" w:rsidTr="00B91272">
        <w:trPr>
          <w:trHeight w:val="227"/>
          <w:jc w:val="center"/>
        </w:trPr>
        <w:tc>
          <w:tcPr>
            <w:tcW w:w="8164" w:type="dxa"/>
            <w:shd w:val="clear" w:color="auto" w:fill="FFFFFF" w:themeFill="background1"/>
            <w:vAlign w:val="center"/>
          </w:tcPr>
          <w:p w14:paraId="7C276299" w14:textId="77777777" w:rsidR="00787CDD" w:rsidRPr="004F2535" w:rsidRDefault="00787CDD" w:rsidP="00FE0BB7">
            <w:pPr>
              <w:pStyle w:val="Style10ptJustifi"/>
              <w:widowControl w:val="0"/>
              <w:spacing w:before="60" w:after="60"/>
            </w:pPr>
            <w:r>
              <w:t>A</w:t>
            </w:r>
            <w:r w:rsidRPr="00C63A1E">
              <w:t xml:space="preserve">voir en main les enveloppes ou les soumissions électroniques contenant </w:t>
            </w:r>
            <w:proofErr w:type="gramStart"/>
            <w:r w:rsidRPr="00C63A1E">
              <w:t>le prix associées</w:t>
            </w:r>
            <w:proofErr w:type="gramEnd"/>
            <w:r w:rsidRPr="00C63A1E">
              <w:t xml:space="preserve"> aux offres des soumissionnaires*</w:t>
            </w:r>
          </w:p>
        </w:tc>
        <w:sdt>
          <w:sdtPr>
            <w:id w:val="64538670"/>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0DFE91E7"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30D2FBC2" w14:textId="77777777" w:rsidTr="00B91272">
        <w:trPr>
          <w:trHeight w:val="227"/>
          <w:jc w:val="center"/>
        </w:trPr>
        <w:tc>
          <w:tcPr>
            <w:tcW w:w="8164" w:type="dxa"/>
            <w:shd w:val="clear" w:color="auto" w:fill="E7F7F9"/>
            <w:vAlign w:val="center"/>
          </w:tcPr>
          <w:p w14:paraId="200B25AC" w14:textId="77777777" w:rsidR="00787CDD" w:rsidRPr="00C63A1E" w:rsidRDefault="00787CDD" w:rsidP="00FE0BB7">
            <w:pPr>
              <w:pStyle w:val="Style10ptJustifi"/>
              <w:widowControl w:val="0"/>
              <w:spacing w:before="60" w:after="60"/>
              <w:rPr>
                <w:b/>
                <w:bCs/>
              </w:rPr>
            </w:pPr>
            <w:r w:rsidRPr="00C63A1E">
              <w:rPr>
                <w:b/>
                <w:bCs/>
              </w:rPr>
              <w:t>Animation</w:t>
            </w:r>
          </w:p>
        </w:tc>
        <w:tc>
          <w:tcPr>
            <w:tcW w:w="1888" w:type="dxa"/>
            <w:shd w:val="clear" w:color="auto" w:fill="E7F7F9"/>
            <w:vAlign w:val="center"/>
          </w:tcPr>
          <w:p w14:paraId="66B109D4" w14:textId="77777777" w:rsidR="00787CDD" w:rsidRPr="004F2535" w:rsidRDefault="00787CDD" w:rsidP="00FE0BB7">
            <w:pPr>
              <w:pStyle w:val="Style10ptJustifi"/>
              <w:widowControl w:val="0"/>
              <w:spacing w:before="60" w:after="60"/>
              <w:jc w:val="center"/>
            </w:pPr>
          </w:p>
        </w:tc>
      </w:tr>
      <w:tr w:rsidR="00787CDD" w14:paraId="39E7B790" w14:textId="77777777" w:rsidTr="00B91272">
        <w:trPr>
          <w:trHeight w:val="227"/>
          <w:jc w:val="center"/>
        </w:trPr>
        <w:tc>
          <w:tcPr>
            <w:tcW w:w="8164" w:type="dxa"/>
            <w:shd w:val="clear" w:color="auto" w:fill="FFFFFF" w:themeFill="background1"/>
            <w:vAlign w:val="center"/>
          </w:tcPr>
          <w:p w14:paraId="291110FA" w14:textId="77777777" w:rsidR="00787CDD" w:rsidRPr="004F2535" w:rsidRDefault="00787CDD" w:rsidP="00FE0BB7">
            <w:pPr>
              <w:pStyle w:val="Style10ptJustifi"/>
              <w:widowControl w:val="0"/>
              <w:spacing w:before="60" w:after="60"/>
            </w:pPr>
            <w:r w:rsidRPr="00C63A1E">
              <w:t>S’assurer que les membres n’ont pas identifié d</w:t>
            </w:r>
            <w:r>
              <w:t>’</w:t>
            </w:r>
            <w:r w:rsidRPr="00C63A1E">
              <w:t>éléments de non-conformité lors de leur analyse</w:t>
            </w:r>
          </w:p>
        </w:tc>
        <w:sdt>
          <w:sdtPr>
            <w:id w:val="-1806074522"/>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0EC515F3"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0D2FA9E8" w14:textId="77777777" w:rsidTr="00B91272">
        <w:trPr>
          <w:trHeight w:val="227"/>
          <w:jc w:val="center"/>
        </w:trPr>
        <w:tc>
          <w:tcPr>
            <w:tcW w:w="8164" w:type="dxa"/>
            <w:shd w:val="clear" w:color="auto" w:fill="FFFFFF" w:themeFill="background1"/>
            <w:vAlign w:val="center"/>
          </w:tcPr>
          <w:p w14:paraId="0979D034" w14:textId="77777777" w:rsidR="00787CDD" w:rsidRPr="004F2535" w:rsidRDefault="00787CDD" w:rsidP="00FE0BB7">
            <w:pPr>
              <w:pStyle w:val="Style10ptJustifi"/>
              <w:widowControl w:val="0"/>
              <w:spacing w:before="60" w:after="60"/>
            </w:pPr>
            <w:r w:rsidRPr="00C63A1E">
              <w:lastRenderedPageBreak/>
              <w:t>Vérifier que l’analyse préliminaire des offres a été effectuée par chaque membre du comité</w:t>
            </w:r>
          </w:p>
        </w:tc>
        <w:sdt>
          <w:sdtPr>
            <w:id w:val="-120390134"/>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213519E8"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5CEE6A6A" w14:textId="77777777" w:rsidTr="00B91272">
        <w:trPr>
          <w:trHeight w:val="227"/>
          <w:jc w:val="center"/>
        </w:trPr>
        <w:tc>
          <w:tcPr>
            <w:tcW w:w="8164" w:type="dxa"/>
            <w:shd w:val="clear" w:color="auto" w:fill="FFFFFF" w:themeFill="background1"/>
            <w:vAlign w:val="center"/>
          </w:tcPr>
          <w:p w14:paraId="7895EDD6" w14:textId="77777777" w:rsidR="00787CDD" w:rsidRPr="004F2535" w:rsidRDefault="00787CDD" w:rsidP="00FE0BB7">
            <w:pPr>
              <w:pStyle w:val="Style10ptJustifi"/>
              <w:widowControl w:val="0"/>
              <w:spacing w:before="60" w:after="60"/>
            </w:pPr>
            <w:r w:rsidRPr="00C63A1E">
              <w:t xml:space="preserve">Gérer le droit de parole, s’assurer que chacun des membres </w:t>
            </w:r>
            <w:r>
              <w:t>peut</w:t>
            </w:r>
            <w:r w:rsidRPr="00C63A1E">
              <w:t xml:space="preserve"> s’exprimer librement</w:t>
            </w:r>
          </w:p>
        </w:tc>
        <w:sdt>
          <w:sdtPr>
            <w:id w:val="-1304615601"/>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2AD232AA"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5DC003AE" w14:textId="77777777" w:rsidTr="00B91272">
        <w:trPr>
          <w:trHeight w:val="227"/>
          <w:jc w:val="center"/>
        </w:trPr>
        <w:tc>
          <w:tcPr>
            <w:tcW w:w="8164" w:type="dxa"/>
            <w:shd w:val="clear" w:color="auto" w:fill="FFFFFF" w:themeFill="background1"/>
            <w:vAlign w:val="center"/>
          </w:tcPr>
          <w:p w14:paraId="4175495D" w14:textId="77777777" w:rsidR="00787CDD" w:rsidRPr="004F2535" w:rsidRDefault="00787CDD" w:rsidP="00FE0BB7">
            <w:pPr>
              <w:pStyle w:val="Style10ptJustifi"/>
              <w:widowControl w:val="0"/>
              <w:spacing w:before="60" w:after="60"/>
            </w:pPr>
            <w:r w:rsidRPr="00C63A1E">
              <w:t>Viser l’obtention d</w:t>
            </w:r>
            <w:r>
              <w:t>’</w:t>
            </w:r>
            <w:r w:rsidRPr="00C63A1E">
              <w:t>u</w:t>
            </w:r>
            <w:r>
              <w:t>n</w:t>
            </w:r>
            <w:r w:rsidRPr="00C63A1E">
              <w:t xml:space="preserve"> consensus sur la note</w:t>
            </w:r>
            <w:r>
              <w:t xml:space="preserve"> pour</w:t>
            </w:r>
            <w:r w:rsidRPr="00C63A1E">
              <w:t xml:space="preserve"> chaque critère</w:t>
            </w:r>
          </w:p>
        </w:tc>
        <w:sdt>
          <w:sdtPr>
            <w:id w:val="206539351"/>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4B8C3AFE"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1CE674A6" w14:textId="77777777" w:rsidTr="00B91272">
        <w:trPr>
          <w:trHeight w:val="227"/>
          <w:jc w:val="center"/>
        </w:trPr>
        <w:tc>
          <w:tcPr>
            <w:tcW w:w="8164" w:type="dxa"/>
            <w:shd w:val="clear" w:color="auto" w:fill="E7F7F9"/>
            <w:vAlign w:val="center"/>
          </w:tcPr>
          <w:p w14:paraId="2A5A0926" w14:textId="77777777" w:rsidR="00787CDD" w:rsidRPr="00EB0CFA" w:rsidRDefault="00787CDD" w:rsidP="00FE0BB7">
            <w:pPr>
              <w:pStyle w:val="Style10ptJustifi"/>
              <w:widowControl w:val="0"/>
              <w:spacing w:before="60" w:after="60"/>
              <w:rPr>
                <w:b/>
                <w:bCs/>
              </w:rPr>
            </w:pPr>
            <w:r w:rsidRPr="00EB0CFA">
              <w:rPr>
                <w:b/>
                <w:bCs/>
              </w:rPr>
              <w:t>Calcul du pointage total</w:t>
            </w:r>
          </w:p>
        </w:tc>
        <w:tc>
          <w:tcPr>
            <w:tcW w:w="1888" w:type="dxa"/>
            <w:shd w:val="clear" w:color="auto" w:fill="E7F7F9"/>
            <w:vAlign w:val="center"/>
          </w:tcPr>
          <w:p w14:paraId="5B1DAF99" w14:textId="77777777" w:rsidR="00787CDD" w:rsidRPr="004F2535" w:rsidRDefault="00787CDD" w:rsidP="00FE0BB7">
            <w:pPr>
              <w:pStyle w:val="Style10ptJustifi"/>
              <w:widowControl w:val="0"/>
              <w:spacing w:before="60" w:after="60"/>
              <w:jc w:val="center"/>
            </w:pPr>
          </w:p>
        </w:tc>
      </w:tr>
      <w:tr w:rsidR="00787CDD" w14:paraId="76AB06AD" w14:textId="77777777" w:rsidTr="00B91272">
        <w:trPr>
          <w:trHeight w:val="227"/>
          <w:jc w:val="center"/>
        </w:trPr>
        <w:tc>
          <w:tcPr>
            <w:tcW w:w="8164" w:type="dxa"/>
            <w:shd w:val="clear" w:color="auto" w:fill="FFFFFF" w:themeFill="background1"/>
            <w:vAlign w:val="center"/>
          </w:tcPr>
          <w:p w14:paraId="5015C5A4" w14:textId="77777777" w:rsidR="00787CDD" w:rsidRPr="004F2535" w:rsidRDefault="00787CDD" w:rsidP="00FE0BB7">
            <w:pPr>
              <w:pStyle w:val="Style10ptJustifi"/>
              <w:widowControl w:val="0"/>
              <w:spacing w:before="60" w:after="60"/>
            </w:pPr>
            <w:r w:rsidRPr="00C63A1E">
              <w:t>Faire le total des notes obtenues pour les critères de qualité et déterminer le pointage intérimaire*</w:t>
            </w:r>
          </w:p>
        </w:tc>
        <w:sdt>
          <w:sdtPr>
            <w:id w:val="-1761059956"/>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6E4C0D66"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54D40681" w14:textId="77777777" w:rsidTr="00B91272">
        <w:trPr>
          <w:trHeight w:val="227"/>
          <w:jc w:val="center"/>
        </w:trPr>
        <w:tc>
          <w:tcPr>
            <w:tcW w:w="8164" w:type="dxa"/>
            <w:shd w:val="clear" w:color="auto" w:fill="FFFFFF" w:themeFill="background1"/>
            <w:vAlign w:val="center"/>
          </w:tcPr>
          <w:p w14:paraId="1A2C082C" w14:textId="77777777" w:rsidR="00787CDD" w:rsidRPr="004F2535" w:rsidRDefault="00787CDD" w:rsidP="00FE0BB7">
            <w:pPr>
              <w:pStyle w:val="Style10ptJustifi"/>
              <w:widowControl w:val="0"/>
              <w:spacing w:before="60" w:after="60"/>
            </w:pPr>
            <w:r w:rsidRPr="00C63A1E">
              <w:t>Ouvrir les enveloppes de prix ou les fichiers prix des offres acceptables*</w:t>
            </w:r>
          </w:p>
        </w:tc>
        <w:sdt>
          <w:sdtPr>
            <w:id w:val="-162473116"/>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26423410"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6DDB86FC" w14:textId="77777777" w:rsidTr="00B91272">
        <w:trPr>
          <w:trHeight w:val="227"/>
          <w:jc w:val="center"/>
        </w:trPr>
        <w:tc>
          <w:tcPr>
            <w:tcW w:w="8164" w:type="dxa"/>
            <w:shd w:val="clear" w:color="auto" w:fill="FFFFFF" w:themeFill="background1"/>
            <w:vAlign w:val="center"/>
          </w:tcPr>
          <w:p w14:paraId="650A61A5" w14:textId="77777777" w:rsidR="00787CDD" w:rsidRPr="004F2535" w:rsidRDefault="00787CDD" w:rsidP="00FE0BB7">
            <w:pPr>
              <w:pStyle w:val="Style10ptJustifi"/>
              <w:widowControl w:val="0"/>
              <w:spacing w:before="60" w:after="60"/>
            </w:pPr>
            <w:r w:rsidRPr="00C63A1E">
              <w:t>Vérifier la conformité des offres de prix</w:t>
            </w:r>
          </w:p>
        </w:tc>
        <w:sdt>
          <w:sdtPr>
            <w:id w:val="1951353415"/>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5A50EE87"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64C2F736" w14:textId="77777777" w:rsidTr="00B91272">
        <w:trPr>
          <w:trHeight w:val="227"/>
          <w:jc w:val="center"/>
        </w:trPr>
        <w:tc>
          <w:tcPr>
            <w:tcW w:w="8164" w:type="dxa"/>
            <w:shd w:val="clear" w:color="auto" w:fill="FFFFFF" w:themeFill="background1"/>
            <w:vAlign w:val="center"/>
          </w:tcPr>
          <w:p w14:paraId="19D65880" w14:textId="77777777" w:rsidR="00787CDD" w:rsidRPr="004F2535" w:rsidRDefault="00787CDD" w:rsidP="00FE0BB7">
            <w:pPr>
              <w:pStyle w:val="Style10ptJustifi"/>
              <w:widowControl w:val="0"/>
              <w:spacing w:before="60" w:after="60"/>
            </w:pPr>
            <w:r w:rsidRPr="00C63A1E">
              <w:t>Remplir la «</w:t>
            </w:r>
            <w:r>
              <w:rPr>
                <w:rFonts w:ascii="Times New Roman" w:hAnsi="Times New Roman"/>
              </w:rPr>
              <w:t> </w:t>
            </w:r>
            <w:r w:rsidRPr="00C63A1E">
              <w:t>grille d</w:t>
            </w:r>
            <w:r w:rsidRPr="00C63A1E">
              <w:rPr>
                <w:rFonts w:cs="Barlow"/>
              </w:rPr>
              <w:t>’é</w:t>
            </w:r>
            <w:r w:rsidRPr="00C63A1E">
              <w:t>valuation</w:t>
            </w:r>
            <w:r>
              <w:rPr>
                <w:rFonts w:ascii="Times New Roman" w:hAnsi="Times New Roman"/>
              </w:rPr>
              <w:t> </w:t>
            </w:r>
            <w:r w:rsidRPr="00C63A1E">
              <w:rPr>
                <w:rFonts w:cs="Barlow"/>
              </w:rPr>
              <w:t>»</w:t>
            </w:r>
            <w:r w:rsidRPr="00C63A1E">
              <w:t xml:space="preserve"> et la faire signer par les membres</w:t>
            </w:r>
          </w:p>
        </w:tc>
        <w:sdt>
          <w:sdtPr>
            <w:id w:val="1911654781"/>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4F0DF027"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138FDF06" w14:textId="77777777" w:rsidTr="00B91272">
        <w:trPr>
          <w:trHeight w:val="227"/>
          <w:jc w:val="center"/>
        </w:trPr>
        <w:tc>
          <w:tcPr>
            <w:tcW w:w="8164" w:type="dxa"/>
            <w:shd w:val="clear" w:color="auto" w:fill="FFFFFF" w:themeFill="background1"/>
            <w:vAlign w:val="center"/>
          </w:tcPr>
          <w:p w14:paraId="2692B3CD" w14:textId="77777777" w:rsidR="00787CDD" w:rsidRPr="004F2535" w:rsidRDefault="00787CDD" w:rsidP="00FE0BB7">
            <w:pPr>
              <w:pStyle w:val="Style10ptJustifi"/>
              <w:widowControl w:val="0"/>
              <w:spacing w:before="60" w:after="60"/>
            </w:pPr>
            <w:r w:rsidRPr="00C63A1E">
              <w:t>Recommander l’attribution du contrat au soumissionnaire ayant obtenu le plus haut pointage final</w:t>
            </w:r>
          </w:p>
        </w:tc>
        <w:sdt>
          <w:sdtPr>
            <w:id w:val="1184179783"/>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65088980"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6D772626" w14:textId="77777777" w:rsidTr="00B91272">
        <w:trPr>
          <w:trHeight w:val="227"/>
          <w:jc w:val="center"/>
        </w:trPr>
        <w:tc>
          <w:tcPr>
            <w:tcW w:w="8164" w:type="dxa"/>
            <w:shd w:val="clear" w:color="auto" w:fill="FFFFFF" w:themeFill="background1"/>
            <w:vAlign w:val="center"/>
          </w:tcPr>
          <w:p w14:paraId="116BB5C2" w14:textId="77777777" w:rsidR="00787CDD" w:rsidRPr="004F2535" w:rsidRDefault="00787CDD" w:rsidP="00FE0BB7">
            <w:pPr>
              <w:pStyle w:val="Style10ptJustifi"/>
              <w:widowControl w:val="0"/>
              <w:spacing w:before="60" w:after="60"/>
            </w:pPr>
            <w:r w:rsidRPr="00C63A1E">
              <w:t>En cas d’égalité de pointage final, recommander l’attribution au fournisseur selon les règles qui auront été déterminées au préalable dans les documents d</w:t>
            </w:r>
            <w:r>
              <w:t>’</w:t>
            </w:r>
            <w:r w:rsidRPr="00C63A1E">
              <w:t>appel d’offres</w:t>
            </w:r>
          </w:p>
        </w:tc>
        <w:sdt>
          <w:sdtPr>
            <w:id w:val="-1312102649"/>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6C289F60"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650BCA10" w14:textId="77777777" w:rsidTr="00B91272">
        <w:trPr>
          <w:trHeight w:val="227"/>
          <w:jc w:val="center"/>
        </w:trPr>
        <w:tc>
          <w:tcPr>
            <w:tcW w:w="8164" w:type="dxa"/>
            <w:shd w:val="clear" w:color="auto" w:fill="E7F7F9"/>
            <w:vAlign w:val="center"/>
          </w:tcPr>
          <w:p w14:paraId="0EFF7ED0" w14:textId="77777777" w:rsidR="00787CDD" w:rsidRPr="00EB0CFA" w:rsidRDefault="00787CDD" w:rsidP="00FE0BB7">
            <w:pPr>
              <w:pStyle w:val="Style10ptJustifi"/>
              <w:widowControl w:val="0"/>
              <w:spacing w:before="60" w:after="60"/>
              <w:rPr>
                <w:b/>
                <w:bCs/>
              </w:rPr>
            </w:pPr>
            <w:r w:rsidRPr="00EB0CFA">
              <w:rPr>
                <w:b/>
                <w:bCs/>
              </w:rPr>
              <w:t>Rapport du comité de sélection</w:t>
            </w:r>
          </w:p>
        </w:tc>
        <w:tc>
          <w:tcPr>
            <w:tcW w:w="1888" w:type="dxa"/>
            <w:shd w:val="clear" w:color="auto" w:fill="E7F7F9"/>
            <w:vAlign w:val="center"/>
          </w:tcPr>
          <w:p w14:paraId="7AB0A08A" w14:textId="77777777" w:rsidR="00787CDD" w:rsidRPr="004F2535" w:rsidRDefault="00787CDD" w:rsidP="00FE0BB7">
            <w:pPr>
              <w:pStyle w:val="Style10ptJustifi"/>
              <w:widowControl w:val="0"/>
              <w:spacing w:before="60" w:after="60"/>
              <w:jc w:val="center"/>
            </w:pPr>
          </w:p>
        </w:tc>
      </w:tr>
      <w:tr w:rsidR="00787CDD" w14:paraId="420C6B81" w14:textId="77777777" w:rsidTr="00B91272">
        <w:trPr>
          <w:trHeight w:val="227"/>
          <w:jc w:val="center"/>
        </w:trPr>
        <w:tc>
          <w:tcPr>
            <w:tcW w:w="8164" w:type="dxa"/>
            <w:shd w:val="clear" w:color="auto" w:fill="FFFFFF" w:themeFill="background1"/>
            <w:vAlign w:val="center"/>
          </w:tcPr>
          <w:p w14:paraId="1053B270" w14:textId="77777777" w:rsidR="00787CDD" w:rsidRPr="004F2535" w:rsidRDefault="00787CDD" w:rsidP="00FE0BB7">
            <w:pPr>
              <w:pStyle w:val="Style10ptJustifi"/>
              <w:widowControl w:val="0"/>
              <w:spacing w:before="60" w:after="60"/>
            </w:pPr>
            <w:r w:rsidRPr="00C63A1E">
              <w:t>Remplir le «</w:t>
            </w:r>
            <w:r>
              <w:rPr>
                <w:rFonts w:ascii="Times New Roman" w:hAnsi="Times New Roman"/>
              </w:rPr>
              <w:t> </w:t>
            </w:r>
            <w:r w:rsidRPr="00C63A1E">
              <w:t>rapport du comit</w:t>
            </w:r>
            <w:r w:rsidRPr="00C63A1E">
              <w:rPr>
                <w:rFonts w:cs="Barlow"/>
              </w:rPr>
              <w:t>é</w:t>
            </w:r>
            <w:r w:rsidRPr="00C63A1E">
              <w:t xml:space="preserve"> de s</w:t>
            </w:r>
            <w:r w:rsidRPr="00C63A1E">
              <w:rPr>
                <w:rFonts w:cs="Barlow"/>
              </w:rPr>
              <w:t>é</w:t>
            </w:r>
            <w:r w:rsidRPr="00C63A1E">
              <w:t>lection</w:t>
            </w:r>
            <w:r>
              <w:rPr>
                <w:rFonts w:ascii="Times New Roman" w:hAnsi="Times New Roman"/>
              </w:rPr>
              <w:t> </w:t>
            </w:r>
            <w:r w:rsidRPr="00C63A1E">
              <w:rPr>
                <w:rFonts w:cs="Barlow"/>
              </w:rPr>
              <w:t>»</w:t>
            </w:r>
          </w:p>
        </w:tc>
        <w:sdt>
          <w:sdtPr>
            <w:id w:val="-267082952"/>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75F1385E"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73C2358A" w14:textId="77777777" w:rsidTr="00B91272">
        <w:trPr>
          <w:trHeight w:val="227"/>
          <w:jc w:val="center"/>
        </w:trPr>
        <w:tc>
          <w:tcPr>
            <w:tcW w:w="8164" w:type="dxa"/>
            <w:shd w:val="clear" w:color="auto" w:fill="FFFFFF" w:themeFill="background1"/>
            <w:vAlign w:val="center"/>
          </w:tcPr>
          <w:p w14:paraId="7185095B" w14:textId="77777777" w:rsidR="00787CDD" w:rsidRPr="004F2535" w:rsidRDefault="00787CDD" w:rsidP="00FE0BB7">
            <w:pPr>
              <w:pStyle w:val="Style10ptJustifi"/>
              <w:widowControl w:val="0"/>
              <w:spacing w:before="60" w:after="60"/>
            </w:pPr>
            <w:r w:rsidRPr="00C63A1E">
              <w:t>Signer</w:t>
            </w:r>
            <w:r>
              <w:t xml:space="preserve"> le rapport</w:t>
            </w:r>
            <w:r w:rsidRPr="00C63A1E">
              <w:t xml:space="preserve"> et faire signer les membres du comité</w:t>
            </w:r>
          </w:p>
        </w:tc>
        <w:sdt>
          <w:sdtPr>
            <w:id w:val="450367443"/>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17C4CB91"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48CC6BE3" w14:textId="77777777" w:rsidTr="00B91272">
        <w:trPr>
          <w:trHeight w:val="227"/>
          <w:jc w:val="center"/>
        </w:trPr>
        <w:tc>
          <w:tcPr>
            <w:tcW w:w="8164" w:type="dxa"/>
            <w:shd w:val="clear" w:color="auto" w:fill="E7F7F9"/>
            <w:vAlign w:val="center"/>
          </w:tcPr>
          <w:p w14:paraId="7C8CF45A" w14:textId="77777777" w:rsidR="00787CDD" w:rsidRPr="00EB0CFA" w:rsidRDefault="00787CDD" w:rsidP="00FE0BB7">
            <w:pPr>
              <w:pStyle w:val="Style10ptJustifi"/>
              <w:widowControl w:val="0"/>
              <w:spacing w:before="60" w:after="60"/>
              <w:rPr>
                <w:b/>
                <w:bCs/>
              </w:rPr>
            </w:pPr>
            <w:r w:rsidRPr="00EB0CFA">
              <w:rPr>
                <w:b/>
                <w:bCs/>
              </w:rPr>
              <w:t>Clôture du comité de sélection</w:t>
            </w:r>
          </w:p>
        </w:tc>
        <w:tc>
          <w:tcPr>
            <w:tcW w:w="1888" w:type="dxa"/>
            <w:shd w:val="clear" w:color="auto" w:fill="E7F7F9"/>
            <w:vAlign w:val="center"/>
          </w:tcPr>
          <w:p w14:paraId="46871F66" w14:textId="77777777" w:rsidR="00787CDD" w:rsidRPr="00EB0CFA" w:rsidRDefault="00787CDD" w:rsidP="00FE0BB7">
            <w:pPr>
              <w:pStyle w:val="Style10ptJustifi"/>
              <w:widowControl w:val="0"/>
              <w:spacing w:before="60" w:after="60"/>
              <w:jc w:val="center"/>
            </w:pPr>
          </w:p>
        </w:tc>
      </w:tr>
      <w:tr w:rsidR="00787CDD" w14:paraId="315E314C" w14:textId="77777777" w:rsidTr="00B91272">
        <w:trPr>
          <w:trHeight w:val="227"/>
          <w:jc w:val="center"/>
        </w:trPr>
        <w:tc>
          <w:tcPr>
            <w:tcW w:w="8164" w:type="dxa"/>
            <w:shd w:val="clear" w:color="auto" w:fill="FFFFFF" w:themeFill="background1"/>
            <w:vAlign w:val="center"/>
          </w:tcPr>
          <w:p w14:paraId="6553C984" w14:textId="77777777" w:rsidR="00787CDD" w:rsidRPr="004F2535" w:rsidRDefault="00787CDD" w:rsidP="00FE0BB7">
            <w:pPr>
              <w:pStyle w:val="Style10ptJustifi"/>
              <w:widowControl w:val="0"/>
              <w:spacing w:before="60" w:after="60"/>
            </w:pPr>
            <w:r w:rsidRPr="00C63A1E">
              <w:t>Faire parapher les notes personnelles et les grilles d’analyse remplies individuellement</w:t>
            </w:r>
          </w:p>
        </w:tc>
        <w:sdt>
          <w:sdtPr>
            <w:id w:val="1854372940"/>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5A66B5ED"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3D0817F7" w14:textId="77777777" w:rsidTr="00B91272">
        <w:trPr>
          <w:trHeight w:val="227"/>
          <w:jc w:val="center"/>
        </w:trPr>
        <w:tc>
          <w:tcPr>
            <w:tcW w:w="8164" w:type="dxa"/>
            <w:shd w:val="clear" w:color="auto" w:fill="FFFFFF" w:themeFill="background1"/>
            <w:vAlign w:val="center"/>
          </w:tcPr>
          <w:p w14:paraId="0595EF2E" w14:textId="77777777" w:rsidR="00787CDD" w:rsidRPr="004F2535" w:rsidRDefault="00787CDD" w:rsidP="00FE0BB7">
            <w:pPr>
              <w:pStyle w:val="Style10ptJustifi"/>
              <w:widowControl w:val="0"/>
              <w:spacing w:before="60" w:after="60"/>
            </w:pPr>
            <w:r w:rsidRPr="00EB0CFA">
              <w:t>Garder et archiver tous les documents originaux nécessaires (notes de travail, grilles d’analyse individuelle, grilles d’évaluation, rapports, résolutions du conseil, etc.)</w:t>
            </w:r>
          </w:p>
        </w:tc>
        <w:sdt>
          <w:sdtPr>
            <w:id w:val="1244227784"/>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64055E86"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14B2F39A" w14:textId="77777777" w:rsidTr="00B91272">
        <w:trPr>
          <w:trHeight w:val="227"/>
          <w:jc w:val="center"/>
        </w:trPr>
        <w:tc>
          <w:tcPr>
            <w:tcW w:w="8164" w:type="dxa"/>
            <w:shd w:val="clear" w:color="auto" w:fill="E7F7F9"/>
            <w:vAlign w:val="center"/>
          </w:tcPr>
          <w:p w14:paraId="7A8C3E09" w14:textId="77777777" w:rsidR="00787CDD" w:rsidRPr="004F2535" w:rsidRDefault="00787CDD" w:rsidP="00FE0BB7">
            <w:pPr>
              <w:pStyle w:val="Style10ptJustifi"/>
              <w:widowControl w:val="0"/>
              <w:spacing w:before="60" w:after="60"/>
            </w:pPr>
            <w:r w:rsidRPr="00EB0CFA">
              <w:rPr>
                <w:b/>
                <w:bCs/>
              </w:rPr>
              <w:t>Transmission des informations aux soumissionnaires</w:t>
            </w:r>
          </w:p>
        </w:tc>
        <w:tc>
          <w:tcPr>
            <w:tcW w:w="1888" w:type="dxa"/>
            <w:shd w:val="clear" w:color="auto" w:fill="E7F7F9"/>
            <w:vAlign w:val="center"/>
          </w:tcPr>
          <w:p w14:paraId="7134E144" w14:textId="77777777" w:rsidR="00787CDD" w:rsidRPr="004F2535" w:rsidRDefault="00787CDD" w:rsidP="00FE0BB7">
            <w:pPr>
              <w:pStyle w:val="Style10ptJustifi"/>
              <w:widowControl w:val="0"/>
              <w:spacing w:before="60" w:after="60"/>
              <w:jc w:val="center"/>
            </w:pPr>
          </w:p>
        </w:tc>
      </w:tr>
      <w:tr w:rsidR="00787CDD" w14:paraId="66AF5A6E" w14:textId="77777777" w:rsidTr="00B91272">
        <w:trPr>
          <w:trHeight w:val="227"/>
          <w:jc w:val="center"/>
        </w:trPr>
        <w:tc>
          <w:tcPr>
            <w:tcW w:w="8164" w:type="dxa"/>
            <w:shd w:val="clear" w:color="auto" w:fill="FFFFFF" w:themeFill="background1"/>
            <w:vAlign w:val="center"/>
          </w:tcPr>
          <w:p w14:paraId="30382533" w14:textId="77777777" w:rsidR="00787CDD" w:rsidRPr="004F2535" w:rsidRDefault="00787CDD" w:rsidP="00FE0BB7">
            <w:pPr>
              <w:pStyle w:val="Style10ptJustifi"/>
              <w:widowControl w:val="0"/>
              <w:spacing w:before="60" w:after="60"/>
            </w:pPr>
            <w:r w:rsidRPr="00EB0CFA">
              <w:t>Envo</w:t>
            </w:r>
            <w:r>
              <w:t xml:space="preserve">yer </w:t>
            </w:r>
            <w:r w:rsidRPr="00EB0CFA">
              <w:t xml:space="preserve">une lettre </w:t>
            </w:r>
            <w:r>
              <w:t xml:space="preserve">de </w:t>
            </w:r>
            <w:r w:rsidRPr="00EB0CFA">
              <w:t xml:space="preserve">réponse et </w:t>
            </w:r>
            <w:r>
              <w:t>l</w:t>
            </w:r>
            <w:r w:rsidRPr="00EB0CFA">
              <w:t>es résultats aux soumissionnaires, dans les XX jours suivant l’adoption de la résolution par le conseil municipal</w:t>
            </w:r>
          </w:p>
        </w:tc>
        <w:sdt>
          <w:sdtPr>
            <w:id w:val="-195466421"/>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74F7EF97"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4CF67C70" w14:textId="77777777" w:rsidTr="00B91272">
        <w:trPr>
          <w:trHeight w:val="227"/>
          <w:jc w:val="center"/>
        </w:trPr>
        <w:tc>
          <w:tcPr>
            <w:tcW w:w="8164" w:type="dxa"/>
            <w:shd w:val="clear" w:color="auto" w:fill="FFFFFF" w:themeFill="background1"/>
            <w:vAlign w:val="center"/>
          </w:tcPr>
          <w:p w14:paraId="702D216C" w14:textId="77777777" w:rsidR="00787CDD" w:rsidRPr="004F2535" w:rsidRDefault="00787CDD" w:rsidP="00FE0BB7">
            <w:pPr>
              <w:pStyle w:val="Style10ptJustifi"/>
              <w:widowControl w:val="0"/>
              <w:spacing w:before="60" w:after="60"/>
            </w:pPr>
            <w:r w:rsidRPr="00EB0CFA">
              <w:t>Publi</w:t>
            </w:r>
            <w:r>
              <w:t>er l</w:t>
            </w:r>
            <w:r w:rsidRPr="00EB0CFA">
              <w:t>es résultats dans le SEAO</w:t>
            </w:r>
          </w:p>
        </w:tc>
        <w:sdt>
          <w:sdtPr>
            <w:id w:val="-885871758"/>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0E6828EB"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5BBA1BCB" w14:textId="77777777" w:rsidTr="00B91272">
        <w:trPr>
          <w:trHeight w:val="227"/>
          <w:jc w:val="center"/>
        </w:trPr>
        <w:tc>
          <w:tcPr>
            <w:tcW w:w="8164" w:type="dxa"/>
            <w:shd w:val="clear" w:color="auto" w:fill="FFFFFF" w:themeFill="background1"/>
            <w:vAlign w:val="center"/>
          </w:tcPr>
          <w:p w14:paraId="2710AFF4" w14:textId="77777777" w:rsidR="00787CDD" w:rsidRPr="004F2535" w:rsidRDefault="00787CDD" w:rsidP="00FE0BB7">
            <w:pPr>
              <w:pStyle w:val="Style10ptJustifi"/>
              <w:widowControl w:val="0"/>
              <w:spacing w:before="60" w:after="60"/>
            </w:pPr>
            <w:r w:rsidRPr="00EB0CFA">
              <w:t>Retourner les enveloppes de prix non décachetées</w:t>
            </w:r>
            <w:r>
              <w:t xml:space="preserve"> pour les</w:t>
            </w:r>
            <w:r w:rsidRPr="00EB0CFA">
              <w:t xml:space="preserve"> offre</w:t>
            </w:r>
            <w:r>
              <w:t>s</w:t>
            </w:r>
            <w:r w:rsidRPr="00EB0CFA">
              <w:t xml:space="preserve"> non acceptable</w:t>
            </w:r>
            <w:r>
              <w:t>s</w:t>
            </w:r>
            <w:r w:rsidRPr="00EB0CFA">
              <w:t xml:space="preserve"> ou non conforme</w:t>
            </w:r>
            <w:r>
              <w:t>s</w:t>
            </w:r>
            <w:r w:rsidRPr="00EB0CFA">
              <w:t>. Les fichiers prix des soumissions transmises par voie électronique lorsque la procédure d’attribution d’un contrat suivant un système de connaissance différée du prix est utilisée seront détruits automatiquement dans le SEAO.</w:t>
            </w:r>
          </w:p>
        </w:tc>
        <w:sdt>
          <w:sdtPr>
            <w:id w:val="-1612041335"/>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463AE042"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r w:rsidR="00787CDD" w14:paraId="0E51A336" w14:textId="77777777" w:rsidTr="00B91272">
        <w:trPr>
          <w:trHeight w:val="227"/>
          <w:jc w:val="center"/>
        </w:trPr>
        <w:tc>
          <w:tcPr>
            <w:tcW w:w="8164" w:type="dxa"/>
            <w:shd w:val="clear" w:color="auto" w:fill="FFFFFF" w:themeFill="background1"/>
            <w:vAlign w:val="center"/>
          </w:tcPr>
          <w:p w14:paraId="0DC91018" w14:textId="77777777" w:rsidR="00787CDD" w:rsidRPr="004F2535" w:rsidRDefault="00787CDD" w:rsidP="00FE0BB7">
            <w:pPr>
              <w:pStyle w:val="Style10ptJustifi"/>
              <w:widowControl w:val="0"/>
              <w:spacing w:before="60" w:after="60"/>
            </w:pPr>
            <w:r w:rsidRPr="00EB0CFA">
              <w:t>Répondre, s’il y a lieu, aux requêtes des soumissionnaires concernant le déroulement du comité</w:t>
            </w:r>
          </w:p>
        </w:tc>
        <w:sdt>
          <w:sdtPr>
            <w:id w:val="-1865197499"/>
            <w14:checkbox>
              <w14:checked w14:val="0"/>
              <w14:checkedState w14:val="2612" w14:font="MS Gothic"/>
              <w14:uncheckedState w14:val="2610" w14:font="MS Gothic"/>
            </w14:checkbox>
          </w:sdtPr>
          <w:sdtEndPr/>
          <w:sdtContent>
            <w:tc>
              <w:tcPr>
                <w:tcW w:w="1888" w:type="dxa"/>
                <w:shd w:val="clear" w:color="auto" w:fill="FFFFFF" w:themeFill="background1"/>
                <w:vAlign w:val="center"/>
              </w:tcPr>
              <w:p w14:paraId="757B17EC" w14:textId="77777777" w:rsidR="00787CDD" w:rsidRPr="004F2535" w:rsidRDefault="00787CDD" w:rsidP="00FE0BB7">
                <w:pPr>
                  <w:pStyle w:val="Style10ptJustifi"/>
                  <w:widowControl w:val="0"/>
                  <w:spacing w:before="60" w:after="60"/>
                  <w:jc w:val="center"/>
                </w:pPr>
                <w:r>
                  <w:rPr>
                    <w:rFonts w:ascii="MS Gothic" w:eastAsia="MS Gothic" w:hAnsi="MS Gothic" w:hint="eastAsia"/>
                  </w:rPr>
                  <w:t>☐</w:t>
                </w:r>
              </w:p>
            </w:tc>
          </w:sdtContent>
        </w:sdt>
      </w:tr>
    </w:tbl>
    <w:p w14:paraId="6CEF0670" w14:textId="77777777" w:rsidR="00787CDD" w:rsidRDefault="00787CDD" w:rsidP="00787CDD">
      <w:pPr>
        <w:jc w:val="both"/>
      </w:pPr>
      <w:r w:rsidRPr="00C63A1E">
        <w:t>* Lorsque la procédure d’attribution choisie est le système de connaissance différée des prix.</w:t>
      </w:r>
    </w:p>
    <w:p w14:paraId="0B43DE29" w14:textId="77777777" w:rsidR="00425A2A" w:rsidRDefault="00425A2A"/>
    <w:sectPr w:rsidR="00425A2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CDD"/>
    <w:rsid w:val="00084153"/>
    <w:rsid w:val="00425A2A"/>
    <w:rsid w:val="00571B0F"/>
    <w:rsid w:val="00787CDD"/>
    <w:rsid w:val="008A0057"/>
    <w:rsid w:val="00922A34"/>
    <w:rsid w:val="00A54A1B"/>
    <w:rsid w:val="00AA61CA"/>
    <w:rsid w:val="00B91272"/>
    <w:rsid w:val="00DC68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14AF"/>
  <w15:chartTrackingRefBased/>
  <w15:docId w15:val="{AA93D0F0-0426-4556-A8E4-B6944CE2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w:qFormat/>
    <w:rsid w:val="00787CDD"/>
    <w:pPr>
      <w:spacing w:before="120" w:after="120" w:line="240" w:lineRule="auto"/>
    </w:pPr>
    <w:rPr>
      <w:rFonts w:ascii="Arial" w:eastAsia="Times" w:hAnsi="Arial" w:cs="Times New Roman"/>
      <w:kern w:val="0"/>
      <w:szCs w:val="24"/>
      <w:lang w:eastAsia="fr-CA"/>
      <w14:ligatures w14:val="none"/>
    </w:rPr>
  </w:style>
  <w:style w:type="paragraph" w:styleId="Titre1">
    <w:name w:val="heading 1"/>
    <w:basedOn w:val="Normal"/>
    <w:next w:val="Normal"/>
    <w:link w:val="Titre1Car"/>
    <w:uiPriority w:val="9"/>
    <w:qFormat/>
    <w:rsid w:val="00787CD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787CD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787CD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787CDD"/>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Titre5">
    <w:name w:val="heading 5"/>
    <w:basedOn w:val="Normal"/>
    <w:next w:val="Normal"/>
    <w:link w:val="Titre5Car"/>
    <w:uiPriority w:val="9"/>
    <w:semiHidden/>
    <w:unhideWhenUsed/>
    <w:qFormat/>
    <w:rsid w:val="00787CDD"/>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Titre6">
    <w:name w:val="heading 6"/>
    <w:basedOn w:val="Normal"/>
    <w:next w:val="Normal"/>
    <w:link w:val="Titre6Car"/>
    <w:uiPriority w:val="9"/>
    <w:semiHidden/>
    <w:unhideWhenUsed/>
    <w:qFormat/>
    <w:rsid w:val="00787CDD"/>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Titre7">
    <w:name w:val="heading 7"/>
    <w:basedOn w:val="Normal"/>
    <w:next w:val="Normal"/>
    <w:link w:val="Titre7Car"/>
    <w:uiPriority w:val="9"/>
    <w:semiHidden/>
    <w:unhideWhenUsed/>
    <w:qFormat/>
    <w:rsid w:val="00787CDD"/>
    <w:pPr>
      <w:keepNext/>
      <w:keepLines/>
      <w:spacing w:before="40" w:after="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Titre8">
    <w:name w:val="heading 8"/>
    <w:basedOn w:val="Normal"/>
    <w:next w:val="Normal"/>
    <w:link w:val="Titre8Car"/>
    <w:uiPriority w:val="9"/>
    <w:semiHidden/>
    <w:unhideWhenUsed/>
    <w:qFormat/>
    <w:rsid w:val="00787CDD"/>
    <w:pPr>
      <w:keepNext/>
      <w:keepLines/>
      <w:spacing w:before="0" w:after="0"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Titre9">
    <w:name w:val="heading 9"/>
    <w:basedOn w:val="Normal"/>
    <w:next w:val="Normal"/>
    <w:link w:val="Titre9Car"/>
    <w:uiPriority w:val="9"/>
    <w:semiHidden/>
    <w:unhideWhenUsed/>
    <w:qFormat/>
    <w:rsid w:val="00787CDD"/>
    <w:pPr>
      <w:keepNext/>
      <w:keepLines/>
      <w:spacing w:before="0" w:after="0"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7CD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87CD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87CD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87CD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87CD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87CD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7CD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7CD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7CDD"/>
    <w:rPr>
      <w:rFonts w:eastAsiaTheme="majorEastAsia" w:cstheme="majorBidi"/>
      <w:color w:val="272727" w:themeColor="text1" w:themeTint="D8"/>
    </w:rPr>
  </w:style>
  <w:style w:type="paragraph" w:styleId="Titre">
    <w:name w:val="Title"/>
    <w:basedOn w:val="Normal"/>
    <w:next w:val="Normal"/>
    <w:link w:val="TitreCar"/>
    <w:uiPriority w:val="10"/>
    <w:qFormat/>
    <w:rsid w:val="00787CDD"/>
    <w:pPr>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787CD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7CDD"/>
    <w:pPr>
      <w:numPr>
        <w:ilvl w:val="1"/>
      </w:numPr>
      <w:spacing w:before="0"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787CD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7CDD"/>
    <w:pPr>
      <w:spacing w:before="160" w:after="160" w:line="259" w:lineRule="auto"/>
      <w:jc w:val="center"/>
    </w:pPr>
    <w:rPr>
      <w:rFonts w:asciiTheme="minorHAnsi" w:eastAsiaTheme="minorHAnsi" w:hAnsiTheme="minorHAnsi" w:cstheme="minorBidi"/>
      <w:i/>
      <w:iCs/>
      <w:color w:val="404040" w:themeColor="text1" w:themeTint="BF"/>
      <w:kern w:val="2"/>
      <w:szCs w:val="22"/>
      <w:lang w:eastAsia="en-US"/>
      <w14:ligatures w14:val="standardContextual"/>
    </w:rPr>
  </w:style>
  <w:style w:type="character" w:customStyle="1" w:styleId="CitationCar">
    <w:name w:val="Citation Car"/>
    <w:basedOn w:val="Policepardfaut"/>
    <w:link w:val="Citation"/>
    <w:uiPriority w:val="29"/>
    <w:rsid w:val="00787CDD"/>
    <w:rPr>
      <w:i/>
      <w:iCs/>
      <w:color w:val="404040" w:themeColor="text1" w:themeTint="BF"/>
    </w:rPr>
  </w:style>
  <w:style w:type="paragraph" w:styleId="Paragraphedeliste">
    <w:name w:val="List Paragraph"/>
    <w:basedOn w:val="Normal"/>
    <w:uiPriority w:val="34"/>
    <w:qFormat/>
    <w:rsid w:val="00787CDD"/>
    <w:pPr>
      <w:spacing w:before="0" w:after="160" w:line="259" w:lineRule="auto"/>
      <w:ind w:left="720"/>
      <w:contextualSpacing/>
    </w:pPr>
    <w:rPr>
      <w:rFonts w:asciiTheme="minorHAnsi" w:eastAsiaTheme="minorHAnsi" w:hAnsiTheme="minorHAnsi" w:cstheme="minorBidi"/>
      <w:kern w:val="2"/>
      <w:szCs w:val="22"/>
      <w:lang w:eastAsia="en-US"/>
      <w14:ligatures w14:val="standardContextual"/>
    </w:rPr>
  </w:style>
  <w:style w:type="character" w:styleId="Accentuationintense">
    <w:name w:val="Intense Emphasis"/>
    <w:basedOn w:val="Policepardfaut"/>
    <w:uiPriority w:val="21"/>
    <w:qFormat/>
    <w:rsid w:val="00787CDD"/>
    <w:rPr>
      <w:i/>
      <w:iCs/>
      <w:color w:val="0F4761" w:themeColor="accent1" w:themeShade="BF"/>
    </w:rPr>
  </w:style>
  <w:style w:type="paragraph" w:styleId="Citationintense">
    <w:name w:val="Intense Quote"/>
    <w:basedOn w:val="Normal"/>
    <w:next w:val="Normal"/>
    <w:link w:val="CitationintenseCar"/>
    <w:uiPriority w:val="30"/>
    <w:qFormat/>
    <w:rsid w:val="00787CD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eastAsia="en-US"/>
      <w14:ligatures w14:val="standardContextual"/>
    </w:rPr>
  </w:style>
  <w:style w:type="character" w:customStyle="1" w:styleId="CitationintenseCar">
    <w:name w:val="Citation intense Car"/>
    <w:basedOn w:val="Policepardfaut"/>
    <w:link w:val="Citationintense"/>
    <w:uiPriority w:val="30"/>
    <w:rsid w:val="00787CDD"/>
    <w:rPr>
      <w:i/>
      <w:iCs/>
      <w:color w:val="0F4761" w:themeColor="accent1" w:themeShade="BF"/>
    </w:rPr>
  </w:style>
  <w:style w:type="character" w:styleId="Rfrenceintense">
    <w:name w:val="Intense Reference"/>
    <w:basedOn w:val="Policepardfaut"/>
    <w:uiPriority w:val="32"/>
    <w:qFormat/>
    <w:rsid w:val="00787CDD"/>
    <w:rPr>
      <w:b/>
      <w:bCs/>
      <w:smallCaps/>
      <w:color w:val="0F4761" w:themeColor="accent1" w:themeShade="BF"/>
      <w:spacing w:val="5"/>
    </w:rPr>
  </w:style>
  <w:style w:type="paragraph" w:customStyle="1" w:styleId="Style10ptJustifi">
    <w:name w:val="Style 10 pt Justifié"/>
    <w:basedOn w:val="Normal"/>
    <w:rsid w:val="00787CDD"/>
    <w:pPr>
      <w:jc w:val="both"/>
    </w:pPr>
    <w:rPr>
      <w:rFonts w:ascii="Barlow" w:eastAsia="Times New Roman" w:hAnsi="Barl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654</Words>
  <Characters>3598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Aide-mémoire de la ou du secrétaire du comité de sélection</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Aide-mémoire de la ou du secrétaire du comité de sélection</dc:title>
  <dc:subject>Aide-mémoire de la ou du secrétaire du comité de sélection</dc:subject>
  <dc:creator>Ministère des Affaires municipales et de l'Habitation</dc:creator>
  <cp:keywords/>
  <dc:description/>
  <cp:lastModifiedBy>El Aji, Jamal</cp:lastModifiedBy>
  <cp:revision>3</cp:revision>
  <dcterms:created xsi:type="dcterms:W3CDTF">2025-10-29T15:37:00Z</dcterms:created>
  <dcterms:modified xsi:type="dcterms:W3CDTF">2026-06-02T19:03:00Z</dcterms:modified>
</cp:coreProperties>
</file>