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07F4" w:rsidRPr="00C26244" w:rsidRDefault="006B07F4" w:rsidP="006B07F4">
      <w:pPr>
        <w:pStyle w:val="Titreannexe"/>
      </w:pPr>
      <w:bookmarkStart w:id="0" w:name="_Toc27661794"/>
      <w:bookmarkStart w:id="1" w:name="_GoBack"/>
      <w:r w:rsidRPr="00C26244">
        <w:t>Aide-mémoire du secrétaire du comité de sélection</w:t>
      </w:r>
      <w:bookmarkEnd w:id="0"/>
      <w:r w:rsidR="00E71183">
        <w:rPr>
          <w:rStyle w:val="Appelnotedebasdep"/>
          <w:color w:val="002060"/>
        </w:rPr>
        <w:t>1</w:t>
      </w:r>
    </w:p>
    <w:bookmarkEnd w:id="1"/>
    <w:p w:rsidR="006B07F4" w:rsidRPr="002377C6" w:rsidRDefault="006B07F4" w:rsidP="006B07F4">
      <w:pPr>
        <w:rPr>
          <w:b/>
        </w:rPr>
      </w:pPr>
      <w:r w:rsidRPr="002377C6">
        <w:rPr>
          <w:b/>
        </w:rPr>
        <w:t>Municipalité ___</w:t>
      </w:r>
    </w:p>
    <w:p w:rsidR="006B07F4" w:rsidRDefault="006B07F4" w:rsidP="006B07F4">
      <w:pPr>
        <w:rPr>
          <w:rFonts w:cs="Arial"/>
          <w:b/>
        </w:rPr>
      </w:pPr>
      <w:r w:rsidRPr="00091332">
        <w:rPr>
          <w:rFonts w:cs="Arial"/>
          <w:b/>
        </w:rPr>
        <w:t>Appel d’offres </w:t>
      </w:r>
      <w:r>
        <w:rPr>
          <w:rFonts w:cs="Arial"/>
          <w:b/>
        </w:rPr>
        <w:t>___</w:t>
      </w:r>
    </w:p>
    <w:tbl>
      <w:tblPr>
        <w:tblStyle w:val="Grilledutableau"/>
        <w:tblW w:w="9781" w:type="dxa"/>
        <w:tblLayout w:type="fixed"/>
        <w:tblLook w:val="04A0" w:firstRow="1" w:lastRow="0" w:firstColumn="1" w:lastColumn="0" w:noHBand="0" w:noVBand="1"/>
      </w:tblPr>
      <w:tblGrid>
        <w:gridCol w:w="8222"/>
        <w:gridCol w:w="1559"/>
      </w:tblGrid>
      <w:tr w:rsidR="006B07F4" w:rsidRPr="00091332" w:rsidTr="00E95934">
        <w:tc>
          <w:tcPr>
            <w:tcW w:w="8222" w:type="dxa"/>
            <w:tcBorders>
              <w:top w:val="nil"/>
              <w:left w:val="nil"/>
              <w:bottom w:val="nil"/>
              <w:right w:val="nil"/>
            </w:tcBorders>
            <w:vAlign w:val="top"/>
          </w:tcPr>
          <w:p w:rsidR="006B07F4" w:rsidRPr="00A77D93" w:rsidRDefault="006B07F4" w:rsidP="00E95934">
            <w:pPr>
              <w:rPr>
                <w:b/>
                <w:color w:val="2C2F88"/>
              </w:rPr>
            </w:pPr>
            <w:r w:rsidRPr="00A77D93">
              <w:rPr>
                <w:color w:val="2C2F88"/>
              </w:rPr>
              <w:br w:type="page"/>
            </w:r>
            <w:r w:rsidRPr="00A77D93">
              <w:rPr>
                <w:b/>
                <w:color w:val="2C2F88"/>
              </w:rPr>
              <w:t>Liste de vérification pendant la tenue du comité</w:t>
            </w:r>
          </w:p>
          <w:p w:rsidR="006B07F4" w:rsidRPr="00A77D93" w:rsidRDefault="006B07F4" w:rsidP="00E95934">
            <w:pPr>
              <w:pStyle w:val="Paragraphedeliste"/>
              <w:rPr>
                <w:rFonts w:cs="Arial"/>
                <w:color w:val="2C2F88"/>
              </w:rPr>
            </w:pPr>
          </w:p>
        </w:tc>
        <w:tc>
          <w:tcPr>
            <w:tcW w:w="1559" w:type="dxa"/>
            <w:tcBorders>
              <w:top w:val="nil"/>
              <w:left w:val="nil"/>
              <w:bottom w:val="nil"/>
              <w:right w:val="nil"/>
            </w:tcBorders>
            <w:vAlign w:val="top"/>
          </w:tcPr>
          <w:p w:rsidR="006B07F4" w:rsidRPr="00A77D93" w:rsidRDefault="006B07F4" w:rsidP="00E95934">
            <w:pPr>
              <w:rPr>
                <w:rFonts w:cs="Arial"/>
                <w:color w:val="2C2F88"/>
              </w:rPr>
            </w:pPr>
            <w:r w:rsidRPr="00A77D93">
              <w:rPr>
                <w:b/>
                <w:color w:val="2C2F88"/>
              </w:rPr>
              <w:t>Vérification</w:t>
            </w:r>
          </w:p>
        </w:tc>
      </w:tr>
      <w:tr w:rsidR="006B07F4" w:rsidRPr="009D4D86" w:rsidTr="00E95934">
        <w:tc>
          <w:tcPr>
            <w:tcW w:w="9781" w:type="dxa"/>
            <w:gridSpan w:val="2"/>
            <w:shd w:val="clear" w:color="auto" w:fill="2C2F88"/>
          </w:tcPr>
          <w:p w:rsidR="006B07F4" w:rsidRPr="004271A4" w:rsidRDefault="006B07F4" w:rsidP="006B07F4">
            <w:pPr>
              <w:pStyle w:val="Paragraphedeliste"/>
              <w:numPr>
                <w:ilvl w:val="0"/>
                <w:numId w:val="3"/>
              </w:numPr>
              <w:rPr>
                <w:b/>
                <w:color w:val="3B85C4"/>
                <w:szCs w:val="20"/>
              </w:rPr>
            </w:pPr>
            <w:r w:rsidRPr="004271A4">
              <w:rPr>
                <w:b/>
                <w:szCs w:val="20"/>
              </w:rPr>
              <w:t>Préparation du dossier d’analyse des offres pour le comité de sélection</w:t>
            </w:r>
          </w:p>
        </w:tc>
      </w:tr>
      <w:tr w:rsidR="006B07F4" w:rsidRPr="009D4D86" w:rsidTr="00E95934">
        <w:tc>
          <w:tcPr>
            <w:tcW w:w="8222" w:type="dxa"/>
          </w:tcPr>
          <w:p w:rsidR="006B07F4" w:rsidRPr="001A373F" w:rsidRDefault="006B07F4" w:rsidP="006B07F4">
            <w:pPr>
              <w:pStyle w:val="Paragraphedeliste"/>
              <w:numPr>
                <w:ilvl w:val="0"/>
                <w:numId w:val="1"/>
              </w:numPr>
              <w:rPr>
                <w:szCs w:val="20"/>
              </w:rPr>
            </w:pPr>
            <w:r w:rsidRPr="001A373F">
              <w:rPr>
                <w:szCs w:val="20"/>
              </w:rPr>
              <w:t>L’appel d’offres et tous les addendas</w:t>
            </w:r>
          </w:p>
        </w:tc>
        <w:tc>
          <w:tcPr>
            <w:tcW w:w="1559" w:type="dxa"/>
            <w:shd w:val="clear" w:color="auto" w:fill="D7EDF8"/>
          </w:tcPr>
          <w:sdt>
            <w:sdtPr>
              <w:rPr>
                <w:b/>
                <w:sz w:val="20"/>
                <w:szCs w:val="20"/>
              </w:rPr>
              <w:id w:val="1930701472"/>
              <w14:checkbox>
                <w14:checked w14:val="0"/>
                <w14:checkedState w14:val="2612" w14:font="MS Gothic"/>
                <w14:uncheckedState w14:val="2610" w14:font="MS Gothic"/>
              </w14:checkbox>
            </w:sdtPr>
            <w:sdtEndPr/>
            <w:sdtContent>
              <w:p w:rsidR="006B07F4" w:rsidRPr="001A373F" w:rsidRDefault="006B07F4" w:rsidP="00E95934">
                <w:pPr>
                  <w:jc w:val="center"/>
                  <w:rPr>
                    <w:b/>
                    <w:sz w:val="20"/>
                    <w:szCs w:val="20"/>
                  </w:rPr>
                </w:pPr>
                <w:r>
                  <w:rPr>
                    <w:rFonts w:ascii="MS Gothic" w:eastAsia="MS Gothic" w:hAnsi="MS Gothic" w:hint="eastAsia"/>
                    <w:b/>
                    <w:sz w:val="20"/>
                    <w:szCs w:val="20"/>
                  </w:rPr>
                  <w:t>☐</w:t>
                </w:r>
              </w:p>
            </w:sdtContent>
          </w:sdt>
        </w:tc>
      </w:tr>
      <w:tr w:rsidR="006B07F4" w:rsidRPr="009D4D86" w:rsidTr="00E95934">
        <w:tc>
          <w:tcPr>
            <w:tcW w:w="8222" w:type="dxa"/>
          </w:tcPr>
          <w:p w:rsidR="006B07F4" w:rsidRPr="001A373F" w:rsidRDefault="006B07F4" w:rsidP="006B07F4">
            <w:pPr>
              <w:pStyle w:val="Paragraphedeliste"/>
              <w:numPr>
                <w:ilvl w:val="0"/>
                <w:numId w:val="1"/>
              </w:numPr>
              <w:rPr>
                <w:b/>
                <w:szCs w:val="20"/>
              </w:rPr>
            </w:pPr>
            <w:r w:rsidRPr="001A373F">
              <w:rPr>
                <w:szCs w:val="20"/>
              </w:rPr>
              <w:t>Les éléments de non</w:t>
            </w:r>
            <w:r>
              <w:rPr>
                <w:szCs w:val="20"/>
              </w:rPr>
              <w:t>-</w:t>
            </w:r>
            <w:r w:rsidRPr="001A373F">
              <w:rPr>
                <w:szCs w:val="20"/>
              </w:rPr>
              <w:t>conformité et les critères de qualité extraits du document d’appel d’offres</w:t>
            </w:r>
          </w:p>
        </w:tc>
        <w:tc>
          <w:tcPr>
            <w:tcW w:w="1559" w:type="dxa"/>
            <w:shd w:val="clear" w:color="auto" w:fill="D7EDF8"/>
          </w:tcPr>
          <w:sdt>
            <w:sdtPr>
              <w:rPr>
                <w:b/>
                <w:sz w:val="20"/>
                <w:szCs w:val="20"/>
              </w:rPr>
              <w:id w:val="-2058698804"/>
              <w14:checkbox>
                <w14:checked w14:val="0"/>
                <w14:checkedState w14:val="2612" w14:font="MS Gothic"/>
                <w14:uncheckedState w14:val="2610" w14:font="MS Gothic"/>
              </w14:checkbox>
            </w:sdtPr>
            <w:sdtEndPr/>
            <w:sdtContent>
              <w:p w:rsidR="006B07F4" w:rsidRPr="001A373F" w:rsidRDefault="006B07F4" w:rsidP="00E95934">
                <w:pPr>
                  <w:jc w:val="center"/>
                  <w:rPr>
                    <w:b/>
                    <w:sz w:val="20"/>
                    <w:szCs w:val="20"/>
                  </w:rPr>
                </w:pPr>
                <w:r>
                  <w:rPr>
                    <w:rFonts w:ascii="MS Gothic" w:eastAsia="MS Gothic" w:hAnsi="MS Gothic" w:hint="eastAsia"/>
                    <w:b/>
                    <w:sz w:val="20"/>
                    <w:szCs w:val="20"/>
                  </w:rPr>
                  <w:t>☐</w:t>
                </w:r>
              </w:p>
            </w:sdtContent>
          </w:sdt>
        </w:tc>
      </w:tr>
      <w:tr w:rsidR="006B07F4" w:rsidRPr="009D4D86" w:rsidTr="00E95934">
        <w:tc>
          <w:tcPr>
            <w:tcW w:w="8222" w:type="dxa"/>
          </w:tcPr>
          <w:p w:rsidR="006B07F4" w:rsidRPr="001A373F" w:rsidRDefault="006B07F4" w:rsidP="006B07F4">
            <w:pPr>
              <w:pStyle w:val="Paragraphedeliste"/>
              <w:numPr>
                <w:ilvl w:val="0"/>
                <w:numId w:val="1"/>
              </w:numPr>
              <w:rPr>
                <w:szCs w:val="20"/>
              </w:rPr>
            </w:pPr>
            <w:r w:rsidRPr="001A373F">
              <w:rPr>
                <w:szCs w:val="20"/>
              </w:rPr>
              <w:t>La grille d’évaluation</w:t>
            </w:r>
          </w:p>
        </w:tc>
        <w:tc>
          <w:tcPr>
            <w:tcW w:w="1559" w:type="dxa"/>
            <w:shd w:val="clear" w:color="auto" w:fill="D7EDF8"/>
          </w:tcPr>
          <w:sdt>
            <w:sdtPr>
              <w:rPr>
                <w:b/>
                <w:sz w:val="20"/>
                <w:szCs w:val="20"/>
              </w:rPr>
              <w:id w:val="1270274516"/>
              <w14:checkbox>
                <w14:checked w14:val="0"/>
                <w14:checkedState w14:val="2612" w14:font="MS Gothic"/>
                <w14:uncheckedState w14:val="2610" w14:font="MS Gothic"/>
              </w14:checkbox>
            </w:sdtPr>
            <w:sdtEndPr/>
            <w:sdtContent>
              <w:p w:rsidR="006B07F4" w:rsidRPr="001A373F" w:rsidRDefault="006B07F4" w:rsidP="00E95934">
                <w:pPr>
                  <w:jc w:val="center"/>
                  <w:rPr>
                    <w:b/>
                    <w:sz w:val="20"/>
                    <w:szCs w:val="20"/>
                  </w:rPr>
                </w:pPr>
                <w:r>
                  <w:rPr>
                    <w:rFonts w:ascii="MS Gothic" w:eastAsia="MS Gothic" w:hAnsi="MS Gothic" w:hint="eastAsia"/>
                    <w:b/>
                    <w:sz w:val="20"/>
                    <w:szCs w:val="20"/>
                  </w:rPr>
                  <w:t>☐</w:t>
                </w:r>
              </w:p>
            </w:sdtContent>
          </w:sdt>
        </w:tc>
      </w:tr>
      <w:tr w:rsidR="006B07F4" w:rsidRPr="009D4D86" w:rsidTr="00E95934">
        <w:tc>
          <w:tcPr>
            <w:tcW w:w="8222" w:type="dxa"/>
          </w:tcPr>
          <w:p w:rsidR="006B07F4" w:rsidRPr="001A373F" w:rsidRDefault="006B07F4" w:rsidP="006B07F4">
            <w:pPr>
              <w:pStyle w:val="Paragraphedeliste"/>
              <w:numPr>
                <w:ilvl w:val="0"/>
                <w:numId w:val="1"/>
              </w:numPr>
              <w:rPr>
                <w:szCs w:val="20"/>
              </w:rPr>
            </w:pPr>
            <w:r w:rsidRPr="001A373F">
              <w:rPr>
                <w:szCs w:val="20"/>
              </w:rPr>
              <w:t xml:space="preserve">La grille d’analyse préliminaire et l’échelle d’attribution </w:t>
            </w:r>
            <w:r>
              <w:rPr>
                <w:szCs w:val="20"/>
              </w:rPr>
              <w:br/>
            </w:r>
            <w:r w:rsidRPr="001A373F">
              <w:rPr>
                <w:szCs w:val="20"/>
              </w:rPr>
              <w:t>des notes</w:t>
            </w:r>
          </w:p>
        </w:tc>
        <w:tc>
          <w:tcPr>
            <w:tcW w:w="1559" w:type="dxa"/>
            <w:shd w:val="clear" w:color="auto" w:fill="D7EDF8"/>
          </w:tcPr>
          <w:sdt>
            <w:sdtPr>
              <w:rPr>
                <w:b/>
                <w:sz w:val="20"/>
                <w:szCs w:val="20"/>
              </w:rPr>
              <w:id w:val="-116375487"/>
              <w14:checkbox>
                <w14:checked w14:val="0"/>
                <w14:checkedState w14:val="2612" w14:font="MS Gothic"/>
                <w14:uncheckedState w14:val="2610" w14:font="MS Gothic"/>
              </w14:checkbox>
            </w:sdtPr>
            <w:sdtEndPr/>
            <w:sdtContent>
              <w:p w:rsidR="006B07F4" w:rsidRPr="001A373F" w:rsidRDefault="006B07F4" w:rsidP="00E95934">
                <w:pPr>
                  <w:jc w:val="center"/>
                  <w:rPr>
                    <w:b/>
                    <w:sz w:val="20"/>
                    <w:szCs w:val="20"/>
                  </w:rPr>
                </w:pPr>
                <w:r>
                  <w:rPr>
                    <w:rFonts w:ascii="MS Gothic" w:eastAsia="MS Gothic" w:hAnsi="MS Gothic" w:hint="eastAsia"/>
                    <w:b/>
                    <w:sz w:val="20"/>
                    <w:szCs w:val="20"/>
                  </w:rPr>
                  <w:t>☐</w:t>
                </w:r>
              </w:p>
            </w:sdtContent>
          </w:sdt>
        </w:tc>
      </w:tr>
      <w:tr w:rsidR="006B07F4" w:rsidRPr="009D4D86" w:rsidTr="00E95934">
        <w:tc>
          <w:tcPr>
            <w:tcW w:w="9781" w:type="dxa"/>
            <w:gridSpan w:val="2"/>
            <w:shd w:val="clear" w:color="auto" w:fill="2C2F88"/>
          </w:tcPr>
          <w:p w:rsidR="006B07F4" w:rsidRPr="001A373F" w:rsidRDefault="006B07F4" w:rsidP="00E95934">
            <w:pPr>
              <w:pStyle w:val="Paragraphegras"/>
            </w:pPr>
            <w:r w:rsidRPr="004271A4">
              <w:rPr>
                <w:color w:val="3B85C4"/>
              </w:rPr>
              <w:t xml:space="preserve"> </w:t>
            </w:r>
            <w:r w:rsidRPr="004271A4">
              <w:rPr>
                <w:color w:val="auto"/>
              </w:rPr>
              <w:t>Rencontre préliminaire des membres du comité</w:t>
            </w:r>
          </w:p>
        </w:tc>
      </w:tr>
      <w:tr w:rsidR="006B07F4" w:rsidRPr="009D4D86" w:rsidTr="00E95934">
        <w:tc>
          <w:tcPr>
            <w:tcW w:w="8222" w:type="dxa"/>
          </w:tcPr>
          <w:p w:rsidR="006B07F4" w:rsidRPr="001A373F" w:rsidRDefault="006B07F4" w:rsidP="006B07F4">
            <w:pPr>
              <w:pStyle w:val="Paragraphedeliste"/>
              <w:numPr>
                <w:ilvl w:val="0"/>
                <w:numId w:val="2"/>
              </w:numPr>
              <w:rPr>
                <w:szCs w:val="20"/>
              </w:rPr>
            </w:pPr>
            <w:r w:rsidRPr="001A373F">
              <w:rPr>
                <w:szCs w:val="20"/>
              </w:rPr>
              <w:t xml:space="preserve">S’assurer d’avoir </w:t>
            </w:r>
            <w:r>
              <w:rPr>
                <w:szCs w:val="20"/>
              </w:rPr>
              <w:t xml:space="preserve">obtenu </w:t>
            </w:r>
            <w:r w:rsidRPr="001A373F">
              <w:rPr>
                <w:szCs w:val="20"/>
              </w:rPr>
              <w:t xml:space="preserve">tous les formulaires d’engagement solennel signés </w:t>
            </w:r>
            <w:r>
              <w:rPr>
                <w:szCs w:val="20"/>
              </w:rPr>
              <w:t>par les</w:t>
            </w:r>
            <w:r w:rsidRPr="001A373F">
              <w:rPr>
                <w:szCs w:val="20"/>
              </w:rPr>
              <w:t xml:space="preserve"> membres </w:t>
            </w:r>
          </w:p>
        </w:tc>
        <w:tc>
          <w:tcPr>
            <w:tcW w:w="1559" w:type="dxa"/>
            <w:shd w:val="clear" w:color="auto" w:fill="D7EDF8"/>
          </w:tcPr>
          <w:sdt>
            <w:sdtPr>
              <w:rPr>
                <w:b/>
                <w:sz w:val="20"/>
                <w:szCs w:val="20"/>
              </w:rPr>
              <w:id w:val="1648621805"/>
              <w14:checkbox>
                <w14:checked w14:val="0"/>
                <w14:checkedState w14:val="2612" w14:font="MS Gothic"/>
                <w14:uncheckedState w14:val="2610" w14:font="MS Gothic"/>
              </w14:checkbox>
            </w:sdtPr>
            <w:sdtEndPr/>
            <w:sdtContent>
              <w:p w:rsidR="006B07F4" w:rsidRPr="001A373F" w:rsidRDefault="006B07F4" w:rsidP="00E95934">
                <w:pPr>
                  <w:jc w:val="center"/>
                  <w:rPr>
                    <w:sz w:val="20"/>
                    <w:szCs w:val="20"/>
                  </w:rPr>
                </w:pPr>
                <w:r>
                  <w:rPr>
                    <w:rFonts w:ascii="MS Gothic" w:eastAsia="MS Gothic" w:hAnsi="MS Gothic" w:hint="eastAsia"/>
                    <w:b/>
                    <w:sz w:val="20"/>
                    <w:szCs w:val="20"/>
                  </w:rPr>
                  <w:t>☐</w:t>
                </w:r>
              </w:p>
            </w:sdtContent>
          </w:sdt>
        </w:tc>
      </w:tr>
      <w:tr w:rsidR="006B07F4" w:rsidRPr="009D4D86" w:rsidTr="00E95934">
        <w:tc>
          <w:tcPr>
            <w:tcW w:w="8222" w:type="dxa"/>
          </w:tcPr>
          <w:p w:rsidR="006B07F4" w:rsidRPr="001A373F" w:rsidRDefault="006B07F4" w:rsidP="006B07F4">
            <w:pPr>
              <w:pStyle w:val="Paragraphedeliste"/>
              <w:numPr>
                <w:ilvl w:val="0"/>
                <w:numId w:val="2"/>
              </w:numPr>
              <w:rPr>
                <w:szCs w:val="20"/>
              </w:rPr>
            </w:pPr>
            <w:r w:rsidRPr="001A373F">
              <w:rPr>
                <w:szCs w:val="20"/>
              </w:rPr>
              <w:t xml:space="preserve">S’assurer de nouveau qu’il n’y a pas de conflit d’intérêts </w:t>
            </w:r>
            <w:r>
              <w:rPr>
                <w:szCs w:val="20"/>
              </w:rPr>
              <w:br/>
              <w:t>avec l</w:t>
            </w:r>
            <w:r w:rsidRPr="001A373F">
              <w:rPr>
                <w:szCs w:val="20"/>
              </w:rPr>
              <w:t>es soumissionnaires en lice</w:t>
            </w:r>
          </w:p>
        </w:tc>
        <w:tc>
          <w:tcPr>
            <w:tcW w:w="1559" w:type="dxa"/>
            <w:shd w:val="clear" w:color="auto" w:fill="D7EDF8"/>
          </w:tcPr>
          <w:sdt>
            <w:sdtPr>
              <w:rPr>
                <w:b/>
                <w:sz w:val="20"/>
                <w:szCs w:val="20"/>
              </w:rPr>
              <w:id w:val="450445731"/>
              <w14:checkbox>
                <w14:checked w14:val="0"/>
                <w14:checkedState w14:val="2612" w14:font="MS Gothic"/>
                <w14:uncheckedState w14:val="2610" w14:font="MS Gothic"/>
              </w14:checkbox>
            </w:sdtPr>
            <w:sdtEndPr/>
            <w:sdtContent>
              <w:p w:rsidR="006B07F4" w:rsidRPr="001A373F" w:rsidRDefault="006B07F4" w:rsidP="00E95934">
                <w:pPr>
                  <w:jc w:val="center"/>
                  <w:rPr>
                    <w:sz w:val="20"/>
                    <w:szCs w:val="20"/>
                  </w:rPr>
                </w:pPr>
                <w:r>
                  <w:rPr>
                    <w:rFonts w:ascii="MS Gothic" w:eastAsia="MS Gothic" w:hAnsi="MS Gothic" w:hint="eastAsia"/>
                    <w:b/>
                    <w:sz w:val="20"/>
                    <w:szCs w:val="20"/>
                  </w:rPr>
                  <w:t>☐</w:t>
                </w:r>
              </w:p>
            </w:sdtContent>
          </w:sdt>
        </w:tc>
      </w:tr>
      <w:tr w:rsidR="006B07F4" w:rsidRPr="009D4D86" w:rsidTr="00E95934">
        <w:tc>
          <w:tcPr>
            <w:tcW w:w="8222" w:type="dxa"/>
          </w:tcPr>
          <w:p w:rsidR="006B07F4" w:rsidRPr="001A373F" w:rsidRDefault="006B07F4" w:rsidP="006B07F4">
            <w:pPr>
              <w:pStyle w:val="Paragraphedeliste"/>
              <w:numPr>
                <w:ilvl w:val="0"/>
                <w:numId w:val="2"/>
              </w:numPr>
              <w:rPr>
                <w:szCs w:val="20"/>
              </w:rPr>
            </w:pPr>
            <w:r w:rsidRPr="001A373F">
              <w:rPr>
                <w:szCs w:val="20"/>
              </w:rPr>
              <w:t xml:space="preserve">Remettre les documents sur les responsabilités des membres </w:t>
            </w:r>
            <w:r>
              <w:rPr>
                <w:szCs w:val="20"/>
              </w:rPr>
              <w:br/>
            </w:r>
            <w:r w:rsidRPr="001A373F">
              <w:rPr>
                <w:szCs w:val="20"/>
              </w:rPr>
              <w:t xml:space="preserve">et </w:t>
            </w:r>
            <w:r>
              <w:rPr>
                <w:szCs w:val="20"/>
              </w:rPr>
              <w:t>celles</w:t>
            </w:r>
            <w:r w:rsidRPr="001A373F">
              <w:rPr>
                <w:szCs w:val="20"/>
              </w:rPr>
              <w:t xml:space="preserve"> du secrétaire</w:t>
            </w:r>
          </w:p>
        </w:tc>
        <w:tc>
          <w:tcPr>
            <w:tcW w:w="1559" w:type="dxa"/>
            <w:shd w:val="clear" w:color="auto" w:fill="D7EDF8"/>
          </w:tcPr>
          <w:sdt>
            <w:sdtPr>
              <w:rPr>
                <w:b/>
                <w:sz w:val="20"/>
                <w:szCs w:val="20"/>
              </w:rPr>
              <w:id w:val="1551415277"/>
              <w14:checkbox>
                <w14:checked w14:val="0"/>
                <w14:checkedState w14:val="2612" w14:font="MS Gothic"/>
                <w14:uncheckedState w14:val="2610" w14:font="MS Gothic"/>
              </w14:checkbox>
            </w:sdtPr>
            <w:sdtEndPr/>
            <w:sdtContent>
              <w:p w:rsidR="006B07F4" w:rsidRPr="001A373F" w:rsidRDefault="006B07F4" w:rsidP="00E95934">
                <w:pPr>
                  <w:jc w:val="center"/>
                  <w:rPr>
                    <w:sz w:val="20"/>
                    <w:szCs w:val="20"/>
                  </w:rPr>
                </w:pPr>
                <w:r>
                  <w:rPr>
                    <w:rFonts w:ascii="MS Gothic" w:eastAsia="MS Gothic" w:hAnsi="MS Gothic" w:hint="eastAsia"/>
                    <w:b/>
                    <w:sz w:val="20"/>
                    <w:szCs w:val="20"/>
                  </w:rPr>
                  <w:t>☐</w:t>
                </w:r>
              </w:p>
            </w:sdtContent>
          </w:sdt>
        </w:tc>
      </w:tr>
      <w:tr w:rsidR="006B07F4" w:rsidRPr="009D4D86" w:rsidTr="00E95934">
        <w:tc>
          <w:tcPr>
            <w:tcW w:w="8222" w:type="dxa"/>
          </w:tcPr>
          <w:p w:rsidR="006B07F4" w:rsidRPr="001A373F" w:rsidRDefault="006B07F4" w:rsidP="006B07F4">
            <w:pPr>
              <w:pStyle w:val="Paragraphedeliste"/>
              <w:numPr>
                <w:ilvl w:val="0"/>
                <w:numId w:val="2"/>
              </w:numPr>
              <w:rPr>
                <w:szCs w:val="20"/>
              </w:rPr>
            </w:pPr>
            <w:r w:rsidRPr="001A373F">
              <w:rPr>
                <w:szCs w:val="20"/>
              </w:rPr>
              <w:t xml:space="preserve">Rappeler l’obligation et l’importance de procéder séparément </w:t>
            </w:r>
            <w:r>
              <w:rPr>
                <w:szCs w:val="20"/>
              </w:rPr>
              <w:br/>
            </w:r>
            <w:r w:rsidRPr="001A373F">
              <w:rPr>
                <w:szCs w:val="20"/>
              </w:rPr>
              <w:t>à l’analy</w:t>
            </w:r>
            <w:r>
              <w:rPr>
                <w:szCs w:val="20"/>
              </w:rPr>
              <w:t>se des offres au moyen de la « g</w:t>
            </w:r>
            <w:r w:rsidRPr="001A373F">
              <w:rPr>
                <w:szCs w:val="20"/>
              </w:rPr>
              <w:t>rille d’analyse préliminaire »</w:t>
            </w:r>
          </w:p>
        </w:tc>
        <w:tc>
          <w:tcPr>
            <w:tcW w:w="1559" w:type="dxa"/>
            <w:shd w:val="clear" w:color="auto" w:fill="D7EDF8"/>
          </w:tcPr>
          <w:sdt>
            <w:sdtPr>
              <w:rPr>
                <w:b/>
                <w:sz w:val="20"/>
                <w:szCs w:val="20"/>
              </w:rPr>
              <w:id w:val="-1341384361"/>
              <w14:checkbox>
                <w14:checked w14:val="0"/>
                <w14:checkedState w14:val="2612" w14:font="MS Gothic"/>
                <w14:uncheckedState w14:val="2610" w14:font="MS Gothic"/>
              </w14:checkbox>
            </w:sdtPr>
            <w:sdtEndPr/>
            <w:sdtContent>
              <w:p w:rsidR="006B07F4" w:rsidRPr="001A373F" w:rsidRDefault="006B07F4" w:rsidP="00E95934">
                <w:pPr>
                  <w:jc w:val="center"/>
                  <w:rPr>
                    <w:sz w:val="20"/>
                    <w:szCs w:val="20"/>
                  </w:rPr>
                </w:pPr>
                <w:r>
                  <w:rPr>
                    <w:rFonts w:ascii="MS Gothic" w:eastAsia="MS Gothic" w:hAnsi="MS Gothic" w:hint="eastAsia"/>
                    <w:b/>
                    <w:sz w:val="20"/>
                    <w:szCs w:val="20"/>
                  </w:rPr>
                  <w:t>☐</w:t>
                </w:r>
              </w:p>
            </w:sdtContent>
          </w:sdt>
        </w:tc>
      </w:tr>
      <w:tr w:rsidR="006B07F4" w:rsidRPr="009D4D86" w:rsidTr="00E95934">
        <w:tc>
          <w:tcPr>
            <w:tcW w:w="8222" w:type="dxa"/>
          </w:tcPr>
          <w:p w:rsidR="006B07F4" w:rsidRPr="001A373F" w:rsidRDefault="006B07F4" w:rsidP="006B07F4">
            <w:pPr>
              <w:pStyle w:val="Paragraphedeliste"/>
              <w:numPr>
                <w:ilvl w:val="0"/>
                <w:numId w:val="2"/>
              </w:numPr>
              <w:rPr>
                <w:szCs w:val="20"/>
              </w:rPr>
            </w:pPr>
            <w:r w:rsidRPr="001A373F">
              <w:rPr>
                <w:szCs w:val="20"/>
              </w:rPr>
              <w:t>Remettre le dossier d’analyse des offres et les soumissions jugées conformes</w:t>
            </w:r>
          </w:p>
        </w:tc>
        <w:tc>
          <w:tcPr>
            <w:tcW w:w="1559" w:type="dxa"/>
            <w:shd w:val="clear" w:color="auto" w:fill="D7EDF8"/>
          </w:tcPr>
          <w:sdt>
            <w:sdtPr>
              <w:rPr>
                <w:b/>
                <w:sz w:val="20"/>
                <w:szCs w:val="20"/>
              </w:rPr>
              <w:id w:val="2120089558"/>
              <w14:checkbox>
                <w14:checked w14:val="0"/>
                <w14:checkedState w14:val="2612" w14:font="MS Gothic"/>
                <w14:uncheckedState w14:val="2610" w14:font="MS Gothic"/>
              </w14:checkbox>
            </w:sdtPr>
            <w:sdtEndPr/>
            <w:sdtContent>
              <w:p w:rsidR="006B07F4" w:rsidRPr="001A373F" w:rsidRDefault="006B07F4" w:rsidP="00E95934">
                <w:pPr>
                  <w:jc w:val="center"/>
                  <w:rPr>
                    <w:sz w:val="20"/>
                    <w:szCs w:val="20"/>
                  </w:rPr>
                </w:pPr>
                <w:r>
                  <w:rPr>
                    <w:rFonts w:ascii="MS Gothic" w:eastAsia="MS Gothic" w:hAnsi="MS Gothic" w:hint="eastAsia"/>
                    <w:b/>
                    <w:sz w:val="20"/>
                    <w:szCs w:val="20"/>
                  </w:rPr>
                  <w:t>☐</w:t>
                </w:r>
              </w:p>
            </w:sdtContent>
          </w:sdt>
        </w:tc>
      </w:tr>
      <w:tr w:rsidR="006B07F4" w:rsidRPr="009D4D86" w:rsidTr="00E95934">
        <w:tc>
          <w:tcPr>
            <w:tcW w:w="8222" w:type="dxa"/>
          </w:tcPr>
          <w:p w:rsidR="006B07F4" w:rsidRPr="001A373F" w:rsidRDefault="006B07F4" w:rsidP="006B07F4">
            <w:pPr>
              <w:pStyle w:val="Paragraphedeliste"/>
              <w:numPr>
                <w:ilvl w:val="0"/>
                <w:numId w:val="2"/>
              </w:numPr>
              <w:rPr>
                <w:szCs w:val="20"/>
              </w:rPr>
            </w:pPr>
            <w:r w:rsidRPr="001A373F">
              <w:rPr>
                <w:szCs w:val="20"/>
              </w:rPr>
              <w:t xml:space="preserve">Expliquer les consignes d’évaluation selon le mode d’adjudication des offres. Rappeler les règles de base d’évaluation par critère et expliquer l’échelle d’attribution </w:t>
            </w:r>
            <w:r>
              <w:rPr>
                <w:szCs w:val="20"/>
              </w:rPr>
              <w:br/>
            </w:r>
            <w:r w:rsidRPr="001A373F">
              <w:rPr>
                <w:szCs w:val="20"/>
              </w:rPr>
              <w:t>des points</w:t>
            </w:r>
          </w:p>
        </w:tc>
        <w:tc>
          <w:tcPr>
            <w:tcW w:w="1559" w:type="dxa"/>
            <w:shd w:val="clear" w:color="auto" w:fill="D7EDF8"/>
          </w:tcPr>
          <w:sdt>
            <w:sdtPr>
              <w:rPr>
                <w:b/>
                <w:sz w:val="20"/>
                <w:szCs w:val="20"/>
              </w:rPr>
              <w:id w:val="651643478"/>
              <w14:checkbox>
                <w14:checked w14:val="0"/>
                <w14:checkedState w14:val="2612" w14:font="MS Gothic"/>
                <w14:uncheckedState w14:val="2610" w14:font="MS Gothic"/>
              </w14:checkbox>
            </w:sdtPr>
            <w:sdtEndPr/>
            <w:sdtContent>
              <w:p w:rsidR="006B07F4" w:rsidRPr="001A373F" w:rsidRDefault="006B07F4" w:rsidP="00E95934">
                <w:pPr>
                  <w:jc w:val="center"/>
                  <w:rPr>
                    <w:sz w:val="20"/>
                    <w:szCs w:val="20"/>
                  </w:rPr>
                </w:pPr>
                <w:r>
                  <w:rPr>
                    <w:rFonts w:ascii="MS Gothic" w:eastAsia="MS Gothic" w:hAnsi="MS Gothic" w:hint="eastAsia"/>
                    <w:b/>
                    <w:sz w:val="20"/>
                    <w:szCs w:val="20"/>
                  </w:rPr>
                  <w:t>☐</w:t>
                </w:r>
              </w:p>
            </w:sdtContent>
          </w:sdt>
        </w:tc>
      </w:tr>
      <w:tr w:rsidR="006B07F4" w:rsidRPr="009D4D86" w:rsidTr="00E95934">
        <w:tc>
          <w:tcPr>
            <w:tcW w:w="8222" w:type="dxa"/>
          </w:tcPr>
          <w:p w:rsidR="006B07F4" w:rsidRPr="001A373F" w:rsidRDefault="006B07F4" w:rsidP="006B07F4">
            <w:pPr>
              <w:pStyle w:val="Paragraphedeliste"/>
              <w:numPr>
                <w:ilvl w:val="0"/>
                <w:numId w:val="2"/>
              </w:numPr>
              <w:rPr>
                <w:szCs w:val="20"/>
              </w:rPr>
            </w:pPr>
            <w:r w:rsidRPr="001A373F">
              <w:rPr>
                <w:szCs w:val="20"/>
              </w:rPr>
              <w:t>Réviser la définition de chaque critère (et sous-critère)</w:t>
            </w:r>
          </w:p>
        </w:tc>
        <w:tc>
          <w:tcPr>
            <w:tcW w:w="1559" w:type="dxa"/>
            <w:shd w:val="clear" w:color="auto" w:fill="D7EDF8"/>
          </w:tcPr>
          <w:sdt>
            <w:sdtPr>
              <w:rPr>
                <w:b/>
                <w:sz w:val="20"/>
                <w:szCs w:val="20"/>
              </w:rPr>
              <w:id w:val="422542061"/>
              <w14:checkbox>
                <w14:checked w14:val="0"/>
                <w14:checkedState w14:val="2612" w14:font="MS Gothic"/>
                <w14:uncheckedState w14:val="2610" w14:font="MS Gothic"/>
              </w14:checkbox>
            </w:sdtPr>
            <w:sdtEndPr/>
            <w:sdtContent>
              <w:p w:rsidR="006B07F4" w:rsidRPr="001A373F" w:rsidRDefault="006B07F4" w:rsidP="00E95934">
                <w:pPr>
                  <w:jc w:val="center"/>
                  <w:rPr>
                    <w:sz w:val="20"/>
                    <w:szCs w:val="20"/>
                  </w:rPr>
                </w:pPr>
                <w:r>
                  <w:rPr>
                    <w:rFonts w:ascii="MS Gothic" w:eastAsia="MS Gothic" w:hAnsi="MS Gothic" w:hint="eastAsia"/>
                    <w:b/>
                    <w:sz w:val="20"/>
                    <w:szCs w:val="20"/>
                  </w:rPr>
                  <w:t>☐</w:t>
                </w:r>
              </w:p>
            </w:sdtContent>
          </w:sdt>
        </w:tc>
      </w:tr>
      <w:tr w:rsidR="006B07F4" w:rsidRPr="009D4D86" w:rsidTr="00E95934">
        <w:tc>
          <w:tcPr>
            <w:tcW w:w="8222" w:type="dxa"/>
          </w:tcPr>
          <w:p w:rsidR="006B07F4" w:rsidRPr="001A373F" w:rsidRDefault="006B07F4" w:rsidP="006B07F4">
            <w:pPr>
              <w:pStyle w:val="Paragraphedeliste"/>
              <w:numPr>
                <w:ilvl w:val="0"/>
                <w:numId w:val="2"/>
              </w:numPr>
              <w:rPr>
                <w:szCs w:val="20"/>
              </w:rPr>
            </w:pPr>
            <w:r w:rsidRPr="001A373F">
              <w:rPr>
                <w:szCs w:val="20"/>
              </w:rPr>
              <w:t>Réviser les éléments de non-conformité</w:t>
            </w:r>
          </w:p>
        </w:tc>
        <w:tc>
          <w:tcPr>
            <w:tcW w:w="1559" w:type="dxa"/>
            <w:shd w:val="clear" w:color="auto" w:fill="D7EDF8"/>
          </w:tcPr>
          <w:sdt>
            <w:sdtPr>
              <w:rPr>
                <w:b/>
                <w:sz w:val="20"/>
                <w:szCs w:val="20"/>
              </w:rPr>
              <w:id w:val="812221956"/>
              <w14:checkbox>
                <w14:checked w14:val="0"/>
                <w14:checkedState w14:val="2612" w14:font="MS Gothic"/>
                <w14:uncheckedState w14:val="2610" w14:font="MS Gothic"/>
              </w14:checkbox>
            </w:sdtPr>
            <w:sdtEndPr/>
            <w:sdtContent>
              <w:p w:rsidR="006B07F4" w:rsidRPr="001A373F" w:rsidRDefault="006B07F4" w:rsidP="00E95934">
                <w:pPr>
                  <w:jc w:val="center"/>
                  <w:rPr>
                    <w:sz w:val="20"/>
                    <w:szCs w:val="20"/>
                  </w:rPr>
                </w:pPr>
                <w:r>
                  <w:rPr>
                    <w:rFonts w:ascii="MS Gothic" w:eastAsia="MS Gothic" w:hAnsi="MS Gothic" w:hint="eastAsia"/>
                    <w:b/>
                    <w:sz w:val="20"/>
                    <w:szCs w:val="20"/>
                  </w:rPr>
                  <w:t>☐</w:t>
                </w:r>
              </w:p>
            </w:sdtContent>
          </w:sdt>
        </w:tc>
      </w:tr>
      <w:tr w:rsidR="006B07F4" w:rsidRPr="009D4D86" w:rsidTr="00E95934">
        <w:tc>
          <w:tcPr>
            <w:tcW w:w="8222" w:type="dxa"/>
          </w:tcPr>
          <w:p w:rsidR="006B07F4" w:rsidRPr="001A373F" w:rsidRDefault="006B07F4" w:rsidP="006B07F4">
            <w:pPr>
              <w:pStyle w:val="Paragraphedeliste"/>
              <w:numPr>
                <w:ilvl w:val="0"/>
                <w:numId w:val="2"/>
              </w:numPr>
              <w:rPr>
                <w:szCs w:val="20"/>
              </w:rPr>
            </w:pPr>
            <w:r w:rsidRPr="001A373F">
              <w:rPr>
                <w:szCs w:val="20"/>
              </w:rPr>
              <w:t xml:space="preserve">Aviser que toutes les questions relatives aux offres doivent </w:t>
            </w:r>
            <w:r>
              <w:rPr>
                <w:szCs w:val="20"/>
              </w:rPr>
              <w:br/>
            </w:r>
            <w:r w:rsidRPr="001A373F">
              <w:rPr>
                <w:szCs w:val="20"/>
              </w:rPr>
              <w:t>être adressées au secrétaire et qu’il est le seul autorisé</w:t>
            </w:r>
            <w:r>
              <w:rPr>
                <w:szCs w:val="20"/>
              </w:rPr>
              <w:br/>
            </w:r>
            <w:r w:rsidRPr="001A373F">
              <w:rPr>
                <w:szCs w:val="20"/>
              </w:rPr>
              <w:t xml:space="preserve"> à communiquer avec les soumissionnaires (ou le responsable de l’appel d’offres) </w:t>
            </w:r>
          </w:p>
        </w:tc>
        <w:tc>
          <w:tcPr>
            <w:tcW w:w="1559" w:type="dxa"/>
            <w:shd w:val="clear" w:color="auto" w:fill="D7EDF8"/>
          </w:tcPr>
          <w:sdt>
            <w:sdtPr>
              <w:rPr>
                <w:b/>
                <w:sz w:val="20"/>
                <w:szCs w:val="20"/>
              </w:rPr>
              <w:id w:val="-1294131083"/>
              <w14:checkbox>
                <w14:checked w14:val="0"/>
                <w14:checkedState w14:val="2612" w14:font="MS Gothic"/>
                <w14:uncheckedState w14:val="2610" w14:font="MS Gothic"/>
              </w14:checkbox>
            </w:sdtPr>
            <w:sdtEndPr/>
            <w:sdtContent>
              <w:p w:rsidR="006B07F4" w:rsidRPr="001A373F" w:rsidRDefault="006B07F4" w:rsidP="00E95934">
                <w:pPr>
                  <w:jc w:val="center"/>
                  <w:rPr>
                    <w:sz w:val="20"/>
                    <w:szCs w:val="20"/>
                  </w:rPr>
                </w:pPr>
                <w:r>
                  <w:rPr>
                    <w:rFonts w:ascii="MS Gothic" w:eastAsia="MS Gothic" w:hAnsi="MS Gothic" w:hint="eastAsia"/>
                    <w:b/>
                    <w:sz w:val="20"/>
                    <w:szCs w:val="20"/>
                  </w:rPr>
                  <w:t>☐</w:t>
                </w:r>
              </w:p>
            </w:sdtContent>
          </w:sdt>
        </w:tc>
      </w:tr>
      <w:tr w:rsidR="006B07F4" w:rsidRPr="009D4D86" w:rsidTr="00E95934">
        <w:tc>
          <w:tcPr>
            <w:tcW w:w="9781" w:type="dxa"/>
            <w:gridSpan w:val="2"/>
            <w:shd w:val="clear" w:color="auto" w:fill="2C2F88"/>
          </w:tcPr>
          <w:p w:rsidR="006B07F4" w:rsidRPr="001A373F" w:rsidRDefault="006B07F4" w:rsidP="00E95934">
            <w:pPr>
              <w:pStyle w:val="Paragraphegras"/>
            </w:pPr>
            <w:r w:rsidRPr="004271A4">
              <w:rPr>
                <w:color w:val="auto"/>
              </w:rPr>
              <w:t>Préparation des documents de soutien pour le travail du comité</w:t>
            </w:r>
          </w:p>
        </w:tc>
      </w:tr>
      <w:tr w:rsidR="006B07F4" w:rsidRPr="009D4D86" w:rsidTr="00E95934">
        <w:tc>
          <w:tcPr>
            <w:tcW w:w="8222" w:type="dxa"/>
          </w:tcPr>
          <w:p w:rsidR="006B07F4" w:rsidRPr="001A373F" w:rsidRDefault="006B07F4" w:rsidP="006B07F4">
            <w:pPr>
              <w:pStyle w:val="Paragraphedeliste"/>
              <w:numPr>
                <w:ilvl w:val="0"/>
                <w:numId w:val="2"/>
              </w:numPr>
              <w:rPr>
                <w:szCs w:val="20"/>
              </w:rPr>
            </w:pPr>
            <w:r>
              <w:rPr>
                <w:szCs w:val="20"/>
              </w:rPr>
              <w:t>Personnaliser la g</w:t>
            </w:r>
            <w:r w:rsidRPr="001A373F">
              <w:rPr>
                <w:szCs w:val="20"/>
              </w:rPr>
              <w:t xml:space="preserve">rille d’évaluation utilisée par le secrétaire </w:t>
            </w:r>
            <w:r>
              <w:rPr>
                <w:szCs w:val="20"/>
              </w:rPr>
              <w:br/>
            </w:r>
            <w:r w:rsidRPr="001A373F">
              <w:rPr>
                <w:szCs w:val="20"/>
              </w:rPr>
              <w:t xml:space="preserve">du comité pour noter les points forts et les points faibles identifiés par les membres pour chacune des soumissions </w:t>
            </w:r>
            <w:r>
              <w:rPr>
                <w:szCs w:val="20"/>
              </w:rPr>
              <w:br/>
            </w:r>
            <w:r w:rsidRPr="001A373F">
              <w:rPr>
                <w:szCs w:val="20"/>
              </w:rPr>
              <w:t xml:space="preserve">en fonction des soumissionnaires à évaluer, des critères </w:t>
            </w:r>
            <w:r>
              <w:rPr>
                <w:szCs w:val="20"/>
              </w:rPr>
              <w:br/>
            </w:r>
            <w:r w:rsidRPr="001A373F">
              <w:rPr>
                <w:szCs w:val="20"/>
              </w:rPr>
              <w:t>de sélection et des taux de pondération prévus</w:t>
            </w:r>
          </w:p>
        </w:tc>
        <w:tc>
          <w:tcPr>
            <w:tcW w:w="1559" w:type="dxa"/>
            <w:shd w:val="clear" w:color="auto" w:fill="D7EDF8"/>
          </w:tcPr>
          <w:sdt>
            <w:sdtPr>
              <w:rPr>
                <w:b/>
                <w:sz w:val="20"/>
                <w:szCs w:val="20"/>
              </w:rPr>
              <w:id w:val="1770504309"/>
              <w14:checkbox>
                <w14:checked w14:val="0"/>
                <w14:checkedState w14:val="2612" w14:font="MS Gothic"/>
                <w14:uncheckedState w14:val="2610" w14:font="MS Gothic"/>
              </w14:checkbox>
            </w:sdtPr>
            <w:sdtEndPr/>
            <w:sdtContent>
              <w:p w:rsidR="006B07F4" w:rsidRPr="001A373F" w:rsidRDefault="006B07F4" w:rsidP="00E95934">
                <w:pPr>
                  <w:jc w:val="center"/>
                  <w:rPr>
                    <w:sz w:val="20"/>
                    <w:szCs w:val="20"/>
                  </w:rPr>
                </w:pPr>
                <w:r>
                  <w:rPr>
                    <w:rFonts w:ascii="MS Gothic" w:eastAsia="MS Gothic" w:hAnsi="MS Gothic" w:hint="eastAsia"/>
                    <w:b/>
                    <w:sz w:val="20"/>
                    <w:szCs w:val="20"/>
                  </w:rPr>
                  <w:t>☐</w:t>
                </w:r>
              </w:p>
            </w:sdtContent>
          </w:sdt>
        </w:tc>
      </w:tr>
      <w:tr w:rsidR="006B07F4" w:rsidRPr="009D4D86" w:rsidTr="00E95934">
        <w:tc>
          <w:tcPr>
            <w:tcW w:w="8222" w:type="dxa"/>
          </w:tcPr>
          <w:p w:rsidR="006B07F4" w:rsidRPr="001A373F" w:rsidRDefault="006B07F4" w:rsidP="006B07F4">
            <w:pPr>
              <w:pStyle w:val="Paragraphedeliste"/>
              <w:numPr>
                <w:ilvl w:val="0"/>
                <w:numId w:val="2"/>
              </w:numPr>
              <w:rPr>
                <w:szCs w:val="20"/>
              </w:rPr>
            </w:pPr>
            <w:r>
              <w:rPr>
                <w:szCs w:val="20"/>
              </w:rPr>
              <w:t>Personnaliser le r</w:t>
            </w:r>
            <w:r w:rsidRPr="001A373F">
              <w:rPr>
                <w:szCs w:val="20"/>
              </w:rPr>
              <w:t xml:space="preserve">apport du comité de sélection en fonction </w:t>
            </w:r>
            <w:r>
              <w:rPr>
                <w:szCs w:val="20"/>
              </w:rPr>
              <w:br/>
            </w:r>
            <w:r w:rsidRPr="001A373F">
              <w:rPr>
                <w:szCs w:val="20"/>
              </w:rPr>
              <w:t xml:space="preserve">des informations </w:t>
            </w:r>
            <w:r>
              <w:rPr>
                <w:szCs w:val="20"/>
              </w:rPr>
              <w:t>disponibles</w:t>
            </w:r>
            <w:r w:rsidRPr="001A373F">
              <w:rPr>
                <w:szCs w:val="20"/>
              </w:rPr>
              <w:t xml:space="preserve"> avant la tenue du comité </w:t>
            </w:r>
          </w:p>
        </w:tc>
        <w:tc>
          <w:tcPr>
            <w:tcW w:w="1559" w:type="dxa"/>
            <w:shd w:val="clear" w:color="auto" w:fill="D7EDF8"/>
          </w:tcPr>
          <w:sdt>
            <w:sdtPr>
              <w:rPr>
                <w:b/>
                <w:sz w:val="20"/>
                <w:szCs w:val="20"/>
              </w:rPr>
              <w:id w:val="-1405674030"/>
              <w14:checkbox>
                <w14:checked w14:val="0"/>
                <w14:checkedState w14:val="2612" w14:font="MS Gothic"/>
                <w14:uncheckedState w14:val="2610" w14:font="MS Gothic"/>
              </w14:checkbox>
            </w:sdtPr>
            <w:sdtEndPr/>
            <w:sdtContent>
              <w:p w:rsidR="006B07F4" w:rsidRPr="001A373F" w:rsidRDefault="006B07F4" w:rsidP="00E95934">
                <w:pPr>
                  <w:jc w:val="center"/>
                  <w:rPr>
                    <w:sz w:val="20"/>
                    <w:szCs w:val="20"/>
                  </w:rPr>
                </w:pPr>
                <w:r>
                  <w:rPr>
                    <w:rFonts w:ascii="MS Gothic" w:eastAsia="MS Gothic" w:hAnsi="MS Gothic" w:hint="eastAsia"/>
                    <w:b/>
                    <w:sz w:val="20"/>
                    <w:szCs w:val="20"/>
                  </w:rPr>
                  <w:t>☐</w:t>
                </w:r>
              </w:p>
            </w:sdtContent>
          </w:sdt>
        </w:tc>
      </w:tr>
      <w:tr w:rsidR="006B07F4" w:rsidRPr="009D4D86" w:rsidTr="00E95934">
        <w:trPr>
          <w:trHeight w:val="578"/>
        </w:trPr>
        <w:tc>
          <w:tcPr>
            <w:tcW w:w="8222" w:type="dxa"/>
            <w:vAlign w:val="top"/>
          </w:tcPr>
          <w:p w:rsidR="006B07F4" w:rsidRPr="001A373F" w:rsidRDefault="006B07F4" w:rsidP="006B07F4">
            <w:pPr>
              <w:pStyle w:val="Paragraphedeliste"/>
              <w:numPr>
                <w:ilvl w:val="0"/>
                <w:numId w:val="2"/>
              </w:numPr>
              <w:rPr>
                <w:szCs w:val="20"/>
              </w:rPr>
            </w:pPr>
            <w:r w:rsidRPr="001A373F">
              <w:rPr>
                <w:szCs w:val="20"/>
              </w:rPr>
              <w:t xml:space="preserve">Avoir en main les enveloppes de prix associées aux offres </w:t>
            </w:r>
            <w:r>
              <w:rPr>
                <w:szCs w:val="20"/>
              </w:rPr>
              <w:br/>
            </w:r>
            <w:r w:rsidRPr="001A373F">
              <w:rPr>
                <w:szCs w:val="20"/>
              </w:rPr>
              <w:t>des soumissionnaires*</w:t>
            </w:r>
          </w:p>
        </w:tc>
        <w:tc>
          <w:tcPr>
            <w:tcW w:w="1559" w:type="dxa"/>
            <w:shd w:val="clear" w:color="auto" w:fill="D7EDF8"/>
          </w:tcPr>
          <w:sdt>
            <w:sdtPr>
              <w:rPr>
                <w:b/>
                <w:sz w:val="20"/>
                <w:szCs w:val="20"/>
              </w:rPr>
              <w:id w:val="1377587882"/>
              <w14:checkbox>
                <w14:checked w14:val="0"/>
                <w14:checkedState w14:val="2612" w14:font="MS Gothic"/>
                <w14:uncheckedState w14:val="2610" w14:font="MS Gothic"/>
              </w14:checkbox>
            </w:sdtPr>
            <w:sdtEndPr/>
            <w:sdtContent>
              <w:p w:rsidR="006B07F4" w:rsidRPr="001A373F" w:rsidRDefault="006B07F4" w:rsidP="00E95934">
                <w:pPr>
                  <w:jc w:val="center"/>
                  <w:rPr>
                    <w:sz w:val="20"/>
                    <w:szCs w:val="20"/>
                  </w:rPr>
                </w:pPr>
                <w:r>
                  <w:rPr>
                    <w:rFonts w:ascii="MS Gothic" w:eastAsia="MS Gothic" w:hAnsi="MS Gothic" w:hint="eastAsia"/>
                    <w:b/>
                    <w:sz w:val="20"/>
                    <w:szCs w:val="20"/>
                  </w:rPr>
                  <w:t>☐</w:t>
                </w:r>
              </w:p>
            </w:sdtContent>
          </w:sdt>
        </w:tc>
      </w:tr>
    </w:tbl>
    <w:p w:rsidR="006B07F4" w:rsidRDefault="006B07F4" w:rsidP="006B07F4">
      <w:r>
        <w:br w:type="page"/>
      </w:r>
    </w:p>
    <w:tbl>
      <w:tblPr>
        <w:tblStyle w:val="Grilledutableau"/>
        <w:tblW w:w="97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155"/>
        <w:gridCol w:w="1569"/>
      </w:tblGrid>
      <w:tr w:rsidR="006B07F4" w:rsidRPr="009D4D86" w:rsidTr="00E95934">
        <w:trPr>
          <w:trHeight w:val="450"/>
        </w:trPr>
        <w:tc>
          <w:tcPr>
            <w:tcW w:w="8155" w:type="dxa"/>
            <w:vAlign w:val="top"/>
          </w:tcPr>
          <w:p w:rsidR="006B07F4" w:rsidRPr="001075D2" w:rsidRDefault="006B07F4" w:rsidP="00E95934">
            <w:pPr>
              <w:rPr>
                <w:b/>
                <w:color w:val="2C2F88"/>
              </w:rPr>
            </w:pPr>
            <w:r w:rsidRPr="00A77D93">
              <w:rPr>
                <w:color w:val="2C2F88"/>
              </w:rPr>
              <w:lastRenderedPageBreak/>
              <w:br w:type="page"/>
            </w:r>
            <w:r w:rsidRPr="00A77D93">
              <w:rPr>
                <w:b/>
                <w:color w:val="2C2F88"/>
              </w:rPr>
              <w:t>Liste de vérification pendant la tenue du comité</w:t>
            </w:r>
          </w:p>
        </w:tc>
        <w:tc>
          <w:tcPr>
            <w:tcW w:w="1569" w:type="dxa"/>
            <w:vAlign w:val="top"/>
          </w:tcPr>
          <w:p w:rsidR="006B07F4" w:rsidRPr="00A77D93" w:rsidRDefault="006B07F4" w:rsidP="00E95934">
            <w:pPr>
              <w:ind w:left="-111"/>
              <w:rPr>
                <w:b/>
                <w:color w:val="2C2F88"/>
              </w:rPr>
            </w:pPr>
            <w:r w:rsidRPr="00A77D93">
              <w:rPr>
                <w:b/>
                <w:color w:val="2C2F88"/>
              </w:rPr>
              <w:t>Vérification</w:t>
            </w:r>
          </w:p>
        </w:tc>
      </w:tr>
      <w:tr w:rsidR="006B07F4" w:rsidRPr="009D4D86" w:rsidTr="00E959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9"/>
        </w:trPr>
        <w:tc>
          <w:tcPr>
            <w:tcW w:w="9724" w:type="dxa"/>
            <w:gridSpan w:val="2"/>
            <w:shd w:val="clear" w:color="auto" w:fill="2C2F88"/>
          </w:tcPr>
          <w:p w:rsidR="006B07F4" w:rsidRPr="001A373F" w:rsidRDefault="006B07F4" w:rsidP="00E95934">
            <w:pPr>
              <w:pStyle w:val="Paragraphegras"/>
              <w:ind w:left="318"/>
            </w:pPr>
            <w:r w:rsidRPr="004271A4">
              <w:rPr>
                <w:color w:val="auto"/>
              </w:rPr>
              <w:t>Animation</w:t>
            </w:r>
          </w:p>
        </w:tc>
      </w:tr>
      <w:tr w:rsidR="006B07F4" w:rsidRPr="009D4D86" w:rsidTr="00E959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1"/>
        </w:trPr>
        <w:tc>
          <w:tcPr>
            <w:tcW w:w="8155" w:type="dxa"/>
          </w:tcPr>
          <w:p w:rsidR="006B07F4" w:rsidRPr="001A373F" w:rsidRDefault="006B07F4" w:rsidP="006B07F4">
            <w:pPr>
              <w:pStyle w:val="Paragraphedeliste"/>
              <w:numPr>
                <w:ilvl w:val="0"/>
                <w:numId w:val="2"/>
              </w:numPr>
              <w:ind w:left="318"/>
              <w:rPr>
                <w:szCs w:val="20"/>
              </w:rPr>
            </w:pPr>
            <w:r w:rsidRPr="001A373F">
              <w:rPr>
                <w:szCs w:val="20"/>
              </w:rPr>
              <w:t xml:space="preserve">S’assurer que les membres n’ont pas identifié des éléments </w:t>
            </w:r>
            <w:r>
              <w:rPr>
                <w:szCs w:val="20"/>
              </w:rPr>
              <w:t>de non</w:t>
            </w:r>
            <w:r>
              <w:rPr>
                <w:szCs w:val="20"/>
              </w:rPr>
              <w:noBreakHyphen/>
            </w:r>
            <w:r w:rsidRPr="001A373F">
              <w:rPr>
                <w:szCs w:val="20"/>
              </w:rPr>
              <w:t>conformité lors de leur analyse</w:t>
            </w:r>
          </w:p>
        </w:tc>
        <w:tc>
          <w:tcPr>
            <w:tcW w:w="1569" w:type="dxa"/>
            <w:shd w:val="clear" w:color="auto" w:fill="D7EDF8"/>
          </w:tcPr>
          <w:sdt>
            <w:sdtPr>
              <w:rPr>
                <w:b/>
                <w:sz w:val="20"/>
                <w:szCs w:val="20"/>
              </w:rPr>
              <w:id w:val="-1793281686"/>
              <w14:checkbox>
                <w14:checked w14:val="0"/>
                <w14:checkedState w14:val="2612" w14:font="MS Gothic"/>
                <w14:uncheckedState w14:val="2610" w14:font="MS Gothic"/>
              </w14:checkbox>
            </w:sdtPr>
            <w:sdtEndPr/>
            <w:sdtContent>
              <w:p w:rsidR="006B07F4" w:rsidRPr="001A373F" w:rsidRDefault="006B07F4" w:rsidP="00E95934">
                <w:pPr>
                  <w:jc w:val="center"/>
                  <w:rPr>
                    <w:sz w:val="20"/>
                    <w:szCs w:val="20"/>
                  </w:rPr>
                </w:pPr>
                <w:r>
                  <w:rPr>
                    <w:rFonts w:ascii="MS Gothic" w:eastAsia="MS Gothic" w:hAnsi="MS Gothic" w:hint="eastAsia"/>
                    <w:b/>
                    <w:sz w:val="20"/>
                    <w:szCs w:val="20"/>
                  </w:rPr>
                  <w:t>☐</w:t>
                </w:r>
              </w:p>
            </w:sdtContent>
          </w:sdt>
        </w:tc>
      </w:tr>
      <w:tr w:rsidR="006B07F4" w:rsidRPr="009D4D86" w:rsidTr="00E959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0"/>
        </w:trPr>
        <w:tc>
          <w:tcPr>
            <w:tcW w:w="8155" w:type="dxa"/>
          </w:tcPr>
          <w:p w:rsidR="006B07F4" w:rsidRPr="001A373F" w:rsidRDefault="006B07F4" w:rsidP="006B07F4">
            <w:pPr>
              <w:pStyle w:val="Paragraphedeliste"/>
              <w:numPr>
                <w:ilvl w:val="0"/>
                <w:numId w:val="2"/>
              </w:numPr>
              <w:ind w:left="318"/>
              <w:rPr>
                <w:szCs w:val="20"/>
              </w:rPr>
            </w:pPr>
            <w:r w:rsidRPr="001A373F">
              <w:rPr>
                <w:szCs w:val="20"/>
              </w:rPr>
              <w:t>Vérifier que l’analyse préliminaire des offres a été effectuée par chaque membre du comité</w:t>
            </w:r>
          </w:p>
        </w:tc>
        <w:tc>
          <w:tcPr>
            <w:tcW w:w="1569" w:type="dxa"/>
            <w:shd w:val="clear" w:color="auto" w:fill="D7EDF8"/>
          </w:tcPr>
          <w:sdt>
            <w:sdtPr>
              <w:rPr>
                <w:b/>
                <w:sz w:val="20"/>
                <w:szCs w:val="20"/>
              </w:rPr>
              <w:id w:val="-1865356944"/>
              <w14:checkbox>
                <w14:checked w14:val="0"/>
                <w14:checkedState w14:val="2612" w14:font="MS Gothic"/>
                <w14:uncheckedState w14:val="2610" w14:font="MS Gothic"/>
              </w14:checkbox>
            </w:sdtPr>
            <w:sdtEndPr/>
            <w:sdtContent>
              <w:p w:rsidR="006B07F4" w:rsidRPr="001A373F" w:rsidRDefault="006B07F4" w:rsidP="00E95934">
                <w:pPr>
                  <w:jc w:val="center"/>
                  <w:rPr>
                    <w:sz w:val="20"/>
                    <w:szCs w:val="20"/>
                  </w:rPr>
                </w:pPr>
                <w:r>
                  <w:rPr>
                    <w:rFonts w:ascii="MS Gothic" w:eastAsia="MS Gothic" w:hAnsi="MS Gothic" w:hint="eastAsia"/>
                    <w:b/>
                    <w:sz w:val="20"/>
                    <w:szCs w:val="20"/>
                  </w:rPr>
                  <w:t>☐</w:t>
                </w:r>
              </w:p>
            </w:sdtContent>
          </w:sdt>
        </w:tc>
      </w:tr>
      <w:tr w:rsidR="006B07F4" w:rsidRPr="009D4D86" w:rsidTr="00E959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1"/>
        </w:trPr>
        <w:tc>
          <w:tcPr>
            <w:tcW w:w="8155" w:type="dxa"/>
          </w:tcPr>
          <w:p w:rsidR="006B07F4" w:rsidRPr="001A373F" w:rsidRDefault="006B07F4" w:rsidP="006B07F4">
            <w:pPr>
              <w:pStyle w:val="Paragraphedeliste"/>
              <w:numPr>
                <w:ilvl w:val="0"/>
                <w:numId w:val="2"/>
              </w:numPr>
              <w:ind w:left="318"/>
              <w:rPr>
                <w:szCs w:val="20"/>
              </w:rPr>
            </w:pPr>
            <w:r w:rsidRPr="001A373F">
              <w:rPr>
                <w:szCs w:val="20"/>
              </w:rPr>
              <w:t>Gérer le droit de parole, s’assurer que cha</w:t>
            </w:r>
            <w:r>
              <w:rPr>
                <w:szCs w:val="20"/>
              </w:rPr>
              <w:t>cun des</w:t>
            </w:r>
            <w:r w:rsidRPr="001A373F">
              <w:rPr>
                <w:szCs w:val="20"/>
              </w:rPr>
              <w:t xml:space="preserve"> membre</w:t>
            </w:r>
            <w:r>
              <w:rPr>
                <w:szCs w:val="20"/>
              </w:rPr>
              <w:t>s</w:t>
            </w:r>
            <w:r w:rsidRPr="001A373F">
              <w:rPr>
                <w:szCs w:val="20"/>
              </w:rPr>
              <w:t xml:space="preserve"> puisse s’exprimer librement</w:t>
            </w:r>
          </w:p>
        </w:tc>
        <w:tc>
          <w:tcPr>
            <w:tcW w:w="1569" w:type="dxa"/>
            <w:shd w:val="clear" w:color="auto" w:fill="D7EDF8"/>
          </w:tcPr>
          <w:sdt>
            <w:sdtPr>
              <w:rPr>
                <w:b/>
                <w:sz w:val="20"/>
                <w:szCs w:val="20"/>
              </w:rPr>
              <w:id w:val="-930360908"/>
              <w14:checkbox>
                <w14:checked w14:val="0"/>
                <w14:checkedState w14:val="2612" w14:font="MS Gothic"/>
                <w14:uncheckedState w14:val="2610" w14:font="MS Gothic"/>
              </w14:checkbox>
            </w:sdtPr>
            <w:sdtEndPr/>
            <w:sdtContent>
              <w:p w:rsidR="006B07F4" w:rsidRPr="001A373F" w:rsidRDefault="006B07F4" w:rsidP="00E95934">
                <w:pPr>
                  <w:jc w:val="center"/>
                  <w:rPr>
                    <w:sz w:val="20"/>
                    <w:szCs w:val="20"/>
                  </w:rPr>
                </w:pPr>
                <w:r>
                  <w:rPr>
                    <w:rFonts w:ascii="MS Gothic" w:eastAsia="MS Gothic" w:hAnsi="MS Gothic" w:hint="eastAsia"/>
                    <w:b/>
                    <w:sz w:val="20"/>
                    <w:szCs w:val="20"/>
                  </w:rPr>
                  <w:t>☐</w:t>
                </w:r>
              </w:p>
            </w:sdtContent>
          </w:sdt>
        </w:tc>
      </w:tr>
      <w:tr w:rsidR="006B07F4" w:rsidRPr="009D4D86" w:rsidTr="00E959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1"/>
        </w:trPr>
        <w:tc>
          <w:tcPr>
            <w:tcW w:w="8155" w:type="dxa"/>
          </w:tcPr>
          <w:p w:rsidR="006B07F4" w:rsidRPr="001A373F" w:rsidRDefault="006B07F4" w:rsidP="006B07F4">
            <w:pPr>
              <w:pStyle w:val="Paragraphedeliste"/>
              <w:numPr>
                <w:ilvl w:val="0"/>
                <w:numId w:val="2"/>
              </w:numPr>
              <w:ind w:left="318"/>
              <w:rPr>
                <w:szCs w:val="20"/>
              </w:rPr>
            </w:pPr>
            <w:r w:rsidRPr="001A373F">
              <w:rPr>
                <w:szCs w:val="20"/>
              </w:rPr>
              <w:t>Viser l’obtention du consensus sur la note, à l’égard de chaque critère</w:t>
            </w:r>
          </w:p>
        </w:tc>
        <w:tc>
          <w:tcPr>
            <w:tcW w:w="1569" w:type="dxa"/>
            <w:shd w:val="clear" w:color="auto" w:fill="D7EDF8"/>
          </w:tcPr>
          <w:sdt>
            <w:sdtPr>
              <w:rPr>
                <w:b/>
                <w:sz w:val="20"/>
                <w:szCs w:val="20"/>
              </w:rPr>
              <w:id w:val="1242218751"/>
              <w14:checkbox>
                <w14:checked w14:val="0"/>
                <w14:checkedState w14:val="2612" w14:font="MS Gothic"/>
                <w14:uncheckedState w14:val="2610" w14:font="MS Gothic"/>
              </w14:checkbox>
            </w:sdtPr>
            <w:sdtEndPr/>
            <w:sdtContent>
              <w:p w:rsidR="006B07F4" w:rsidRPr="001A373F" w:rsidRDefault="006B07F4" w:rsidP="00E95934">
                <w:pPr>
                  <w:jc w:val="center"/>
                  <w:rPr>
                    <w:sz w:val="20"/>
                    <w:szCs w:val="20"/>
                  </w:rPr>
                </w:pPr>
                <w:r>
                  <w:rPr>
                    <w:rFonts w:ascii="MS Gothic" w:eastAsia="MS Gothic" w:hAnsi="MS Gothic" w:hint="eastAsia"/>
                    <w:b/>
                    <w:sz w:val="20"/>
                    <w:szCs w:val="20"/>
                  </w:rPr>
                  <w:t>☐</w:t>
                </w:r>
              </w:p>
            </w:sdtContent>
          </w:sdt>
        </w:tc>
      </w:tr>
      <w:tr w:rsidR="006B07F4" w:rsidRPr="009D4D86" w:rsidTr="00E959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9"/>
        </w:trPr>
        <w:tc>
          <w:tcPr>
            <w:tcW w:w="9724" w:type="dxa"/>
            <w:gridSpan w:val="2"/>
            <w:shd w:val="clear" w:color="auto" w:fill="2C2F88"/>
          </w:tcPr>
          <w:p w:rsidR="006B07F4" w:rsidRPr="001A373F" w:rsidRDefault="006B07F4" w:rsidP="00E95934">
            <w:pPr>
              <w:pStyle w:val="Paragraphegras"/>
              <w:ind w:left="318"/>
              <w:jc w:val="center"/>
            </w:pPr>
            <w:r w:rsidRPr="004271A4">
              <w:rPr>
                <w:color w:val="auto"/>
              </w:rPr>
              <w:t>Calcul du pointage total</w:t>
            </w:r>
          </w:p>
        </w:tc>
      </w:tr>
      <w:tr w:rsidR="006B07F4" w:rsidRPr="009D4D86" w:rsidTr="00E959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0"/>
        </w:trPr>
        <w:tc>
          <w:tcPr>
            <w:tcW w:w="8155" w:type="dxa"/>
          </w:tcPr>
          <w:p w:rsidR="006B07F4" w:rsidRPr="001A373F" w:rsidRDefault="006B07F4" w:rsidP="006B07F4">
            <w:pPr>
              <w:pStyle w:val="Paragraphedeliste"/>
              <w:numPr>
                <w:ilvl w:val="0"/>
                <w:numId w:val="2"/>
              </w:numPr>
              <w:ind w:left="318"/>
              <w:rPr>
                <w:szCs w:val="20"/>
              </w:rPr>
            </w:pPr>
            <w:r w:rsidRPr="001A373F">
              <w:rPr>
                <w:szCs w:val="20"/>
              </w:rPr>
              <w:t>Faire le total des notes obtenues pour les critères de qualité et déterminer le pointage intérimaire*</w:t>
            </w:r>
          </w:p>
        </w:tc>
        <w:tc>
          <w:tcPr>
            <w:tcW w:w="1569" w:type="dxa"/>
            <w:shd w:val="clear" w:color="auto" w:fill="D7EDF8"/>
          </w:tcPr>
          <w:sdt>
            <w:sdtPr>
              <w:rPr>
                <w:b/>
                <w:sz w:val="20"/>
                <w:szCs w:val="20"/>
              </w:rPr>
              <w:id w:val="1724864918"/>
              <w14:checkbox>
                <w14:checked w14:val="0"/>
                <w14:checkedState w14:val="2612" w14:font="MS Gothic"/>
                <w14:uncheckedState w14:val="2610" w14:font="MS Gothic"/>
              </w14:checkbox>
            </w:sdtPr>
            <w:sdtEndPr/>
            <w:sdtContent>
              <w:p w:rsidR="006B07F4" w:rsidRPr="001A373F" w:rsidRDefault="006B07F4" w:rsidP="00E95934">
                <w:pPr>
                  <w:jc w:val="center"/>
                  <w:rPr>
                    <w:sz w:val="20"/>
                    <w:szCs w:val="20"/>
                  </w:rPr>
                </w:pPr>
                <w:r>
                  <w:rPr>
                    <w:rFonts w:ascii="MS Gothic" w:eastAsia="MS Gothic" w:hAnsi="MS Gothic" w:hint="eastAsia"/>
                    <w:b/>
                    <w:sz w:val="20"/>
                    <w:szCs w:val="20"/>
                  </w:rPr>
                  <w:t>☐</w:t>
                </w:r>
              </w:p>
            </w:sdtContent>
          </w:sdt>
        </w:tc>
      </w:tr>
      <w:tr w:rsidR="006B07F4" w:rsidRPr="009D4D86" w:rsidTr="00E959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1"/>
        </w:trPr>
        <w:tc>
          <w:tcPr>
            <w:tcW w:w="8155" w:type="dxa"/>
          </w:tcPr>
          <w:p w:rsidR="006B07F4" w:rsidRPr="001A373F" w:rsidRDefault="006B07F4" w:rsidP="006B07F4">
            <w:pPr>
              <w:pStyle w:val="Paragraphedeliste"/>
              <w:numPr>
                <w:ilvl w:val="0"/>
                <w:numId w:val="2"/>
              </w:numPr>
              <w:ind w:left="318"/>
              <w:rPr>
                <w:szCs w:val="20"/>
              </w:rPr>
            </w:pPr>
            <w:r w:rsidRPr="001A373F">
              <w:rPr>
                <w:szCs w:val="20"/>
              </w:rPr>
              <w:t>Ouvrir les enveloppes de prix des offres acceptables*</w:t>
            </w:r>
          </w:p>
        </w:tc>
        <w:tc>
          <w:tcPr>
            <w:tcW w:w="1569" w:type="dxa"/>
            <w:shd w:val="clear" w:color="auto" w:fill="D7EDF8"/>
          </w:tcPr>
          <w:sdt>
            <w:sdtPr>
              <w:rPr>
                <w:b/>
                <w:sz w:val="20"/>
                <w:szCs w:val="20"/>
              </w:rPr>
              <w:id w:val="477881546"/>
              <w14:checkbox>
                <w14:checked w14:val="0"/>
                <w14:checkedState w14:val="2612" w14:font="MS Gothic"/>
                <w14:uncheckedState w14:val="2610" w14:font="MS Gothic"/>
              </w14:checkbox>
            </w:sdtPr>
            <w:sdtEndPr/>
            <w:sdtContent>
              <w:p w:rsidR="006B07F4" w:rsidRPr="001A373F" w:rsidRDefault="006B07F4" w:rsidP="00E95934">
                <w:pPr>
                  <w:jc w:val="center"/>
                  <w:rPr>
                    <w:sz w:val="20"/>
                    <w:szCs w:val="20"/>
                  </w:rPr>
                </w:pPr>
                <w:r>
                  <w:rPr>
                    <w:rFonts w:ascii="MS Gothic" w:eastAsia="MS Gothic" w:hAnsi="MS Gothic" w:hint="eastAsia"/>
                    <w:b/>
                    <w:sz w:val="20"/>
                    <w:szCs w:val="20"/>
                  </w:rPr>
                  <w:t>☐</w:t>
                </w:r>
              </w:p>
            </w:sdtContent>
          </w:sdt>
        </w:tc>
      </w:tr>
      <w:tr w:rsidR="006B07F4" w:rsidRPr="009D4D86" w:rsidTr="00E959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1"/>
        </w:trPr>
        <w:tc>
          <w:tcPr>
            <w:tcW w:w="8155" w:type="dxa"/>
          </w:tcPr>
          <w:p w:rsidR="006B07F4" w:rsidRPr="001A373F" w:rsidRDefault="006B07F4" w:rsidP="006B07F4">
            <w:pPr>
              <w:pStyle w:val="Paragraphedeliste"/>
              <w:numPr>
                <w:ilvl w:val="0"/>
                <w:numId w:val="2"/>
              </w:numPr>
              <w:ind w:left="318"/>
              <w:rPr>
                <w:szCs w:val="20"/>
              </w:rPr>
            </w:pPr>
            <w:r w:rsidRPr="001A373F">
              <w:rPr>
                <w:szCs w:val="20"/>
              </w:rPr>
              <w:t>Vérifier la conformité des offres de prix</w:t>
            </w:r>
          </w:p>
        </w:tc>
        <w:tc>
          <w:tcPr>
            <w:tcW w:w="1569" w:type="dxa"/>
            <w:shd w:val="clear" w:color="auto" w:fill="D7EDF8"/>
          </w:tcPr>
          <w:sdt>
            <w:sdtPr>
              <w:rPr>
                <w:b/>
                <w:sz w:val="20"/>
                <w:szCs w:val="20"/>
              </w:rPr>
              <w:id w:val="1957213788"/>
              <w14:checkbox>
                <w14:checked w14:val="0"/>
                <w14:checkedState w14:val="2612" w14:font="MS Gothic"/>
                <w14:uncheckedState w14:val="2610" w14:font="MS Gothic"/>
              </w14:checkbox>
            </w:sdtPr>
            <w:sdtEndPr/>
            <w:sdtContent>
              <w:p w:rsidR="006B07F4" w:rsidRPr="001A373F" w:rsidRDefault="006B07F4" w:rsidP="00E95934">
                <w:pPr>
                  <w:jc w:val="center"/>
                  <w:rPr>
                    <w:sz w:val="20"/>
                    <w:szCs w:val="20"/>
                  </w:rPr>
                </w:pPr>
                <w:r>
                  <w:rPr>
                    <w:rFonts w:ascii="MS Gothic" w:eastAsia="MS Gothic" w:hAnsi="MS Gothic" w:hint="eastAsia"/>
                    <w:b/>
                    <w:sz w:val="20"/>
                    <w:szCs w:val="20"/>
                  </w:rPr>
                  <w:t>☐</w:t>
                </w:r>
              </w:p>
            </w:sdtContent>
          </w:sdt>
        </w:tc>
      </w:tr>
      <w:tr w:rsidR="006B07F4" w:rsidRPr="009D4D86" w:rsidTr="00E959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1"/>
        </w:trPr>
        <w:tc>
          <w:tcPr>
            <w:tcW w:w="8155" w:type="dxa"/>
          </w:tcPr>
          <w:p w:rsidR="006B07F4" w:rsidRPr="001A373F" w:rsidRDefault="006B07F4" w:rsidP="006B07F4">
            <w:pPr>
              <w:pStyle w:val="Paragraphedeliste"/>
              <w:numPr>
                <w:ilvl w:val="0"/>
                <w:numId w:val="2"/>
              </w:numPr>
              <w:ind w:left="318"/>
              <w:rPr>
                <w:szCs w:val="20"/>
              </w:rPr>
            </w:pPr>
            <w:r>
              <w:rPr>
                <w:szCs w:val="20"/>
              </w:rPr>
              <w:t>Remplir la « g</w:t>
            </w:r>
            <w:r w:rsidRPr="001A373F">
              <w:rPr>
                <w:szCs w:val="20"/>
              </w:rPr>
              <w:t>rille d’évaluation » et la faire signer par les membres</w:t>
            </w:r>
          </w:p>
        </w:tc>
        <w:tc>
          <w:tcPr>
            <w:tcW w:w="1569" w:type="dxa"/>
            <w:shd w:val="clear" w:color="auto" w:fill="D7EDF8"/>
          </w:tcPr>
          <w:sdt>
            <w:sdtPr>
              <w:rPr>
                <w:b/>
                <w:sz w:val="20"/>
                <w:szCs w:val="20"/>
              </w:rPr>
              <w:id w:val="1318763574"/>
              <w14:checkbox>
                <w14:checked w14:val="0"/>
                <w14:checkedState w14:val="2612" w14:font="MS Gothic"/>
                <w14:uncheckedState w14:val="2610" w14:font="MS Gothic"/>
              </w14:checkbox>
            </w:sdtPr>
            <w:sdtEndPr/>
            <w:sdtContent>
              <w:p w:rsidR="006B07F4" w:rsidRPr="001A373F" w:rsidRDefault="006B07F4" w:rsidP="00E95934">
                <w:pPr>
                  <w:jc w:val="center"/>
                  <w:rPr>
                    <w:sz w:val="20"/>
                    <w:szCs w:val="20"/>
                  </w:rPr>
                </w:pPr>
                <w:r>
                  <w:rPr>
                    <w:rFonts w:ascii="MS Gothic" w:eastAsia="MS Gothic" w:hAnsi="MS Gothic" w:hint="eastAsia"/>
                    <w:b/>
                    <w:sz w:val="20"/>
                    <w:szCs w:val="20"/>
                  </w:rPr>
                  <w:t>☐</w:t>
                </w:r>
              </w:p>
            </w:sdtContent>
          </w:sdt>
        </w:tc>
      </w:tr>
      <w:tr w:rsidR="006B07F4" w:rsidRPr="009D4D86" w:rsidTr="00E959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1"/>
        </w:trPr>
        <w:tc>
          <w:tcPr>
            <w:tcW w:w="8155" w:type="dxa"/>
          </w:tcPr>
          <w:p w:rsidR="006B07F4" w:rsidRPr="001A373F" w:rsidRDefault="006B07F4" w:rsidP="006B07F4">
            <w:pPr>
              <w:pStyle w:val="Paragraphedeliste"/>
              <w:numPr>
                <w:ilvl w:val="0"/>
                <w:numId w:val="2"/>
              </w:numPr>
              <w:ind w:left="318"/>
              <w:rPr>
                <w:szCs w:val="20"/>
              </w:rPr>
            </w:pPr>
            <w:r w:rsidRPr="001A373F">
              <w:rPr>
                <w:szCs w:val="20"/>
              </w:rPr>
              <w:t>Recommander l’adjudication du contrat au soumissionnaire ayant obtenu le plus haut pointage final</w:t>
            </w:r>
          </w:p>
        </w:tc>
        <w:tc>
          <w:tcPr>
            <w:tcW w:w="1569" w:type="dxa"/>
            <w:shd w:val="clear" w:color="auto" w:fill="D7EDF8"/>
          </w:tcPr>
          <w:sdt>
            <w:sdtPr>
              <w:rPr>
                <w:b/>
                <w:sz w:val="20"/>
                <w:szCs w:val="20"/>
              </w:rPr>
              <w:id w:val="-1198933788"/>
              <w14:checkbox>
                <w14:checked w14:val="0"/>
                <w14:checkedState w14:val="2612" w14:font="MS Gothic"/>
                <w14:uncheckedState w14:val="2610" w14:font="MS Gothic"/>
              </w14:checkbox>
            </w:sdtPr>
            <w:sdtEndPr/>
            <w:sdtContent>
              <w:p w:rsidR="006B07F4" w:rsidRPr="001A373F" w:rsidRDefault="006B07F4" w:rsidP="00E95934">
                <w:pPr>
                  <w:jc w:val="center"/>
                  <w:rPr>
                    <w:sz w:val="20"/>
                    <w:szCs w:val="20"/>
                  </w:rPr>
                </w:pPr>
                <w:r>
                  <w:rPr>
                    <w:rFonts w:ascii="MS Gothic" w:eastAsia="MS Gothic" w:hAnsi="MS Gothic" w:hint="eastAsia"/>
                    <w:b/>
                    <w:sz w:val="20"/>
                    <w:szCs w:val="20"/>
                  </w:rPr>
                  <w:t>☐</w:t>
                </w:r>
              </w:p>
            </w:sdtContent>
          </w:sdt>
        </w:tc>
      </w:tr>
      <w:tr w:rsidR="006B07F4" w:rsidRPr="009D4D86" w:rsidTr="00E959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9"/>
        </w:trPr>
        <w:tc>
          <w:tcPr>
            <w:tcW w:w="8155" w:type="dxa"/>
          </w:tcPr>
          <w:p w:rsidR="006B07F4" w:rsidRPr="001A373F" w:rsidRDefault="006B07F4" w:rsidP="006B07F4">
            <w:pPr>
              <w:pStyle w:val="Paragraphedeliste"/>
              <w:numPr>
                <w:ilvl w:val="0"/>
                <w:numId w:val="2"/>
              </w:numPr>
              <w:ind w:left="318"/>
              <w:rPr>
                <w:szCs w:val="20"/>
              </w:rPr>
            </w:pPr>
            <w:r w:rsidRPr="001A373F">
              <w:rPr>
                <w:szCs w:val="20"/>
              </w:rPr>
              <w:t xml:space="preserve">En cas d’égalité de pointage final, </w:t>
            </w:r>
            <w:proofErr w:type="gramStart"/>
            <w:r w:rsidRPr="001A373F">
              <w:rPr>
                <w:szCs w:val="20"/>
              </w:rPr>
              <w:t>recommander</w:t>
            </w:r>
            <w:proofErr w:type="gramEnd"/>
            <w:r w:rsidRPr="001A373F">
              <w:rPr>
                <w:szCs w:val="20"/>
              </w:rPr>
              <w:t xml:space="preserve"> l’adjudication au fournisseur ayant présenté… (le prix le plus bas OU le meilleur pointage intérimaire*)</w:t>
            </w:r>
            <w:r w:rsidRPr="001A373F">
              <w:rPr>
                <w:rStyle w:val="Appelnotedebasdep"/>
                <w:szCs w:val="20"/>
              </w:rPr>
              <w:footnoteReference w:id="1"/>
            </w:r>
          </w:p>
        </w:tc>
        <w:tc>
          <w:tcPr>
            <w:tcW w:w="1569" w:type="dxa"/>
            <w:shd w:val="clear" w:color="auto" w:fill="D7EDF8"/>
          </w:tcPr>
          <w:sdt>
            <w:sdtPr>
              <w:rPr>
                <w:b/>
                <w:sz w:val="20"/>
                <w:szCs w:val="20"/>
              </w:rPr>
              <w:id w:val="1613549842"/>
              <w14:checkbox>
                <w14:checked w14:val="0"/>
                <w14:checkedState w14:val="2612" w14:font="MS Gothic"/>
                <w14:uncheckedState w14:val="2610" w14:font="MS Gothic"/>
              </w14:checkbox>
            </w:sdtPr>
            <w:sdtEndPr/>
            <w:sdtContent>
              <w:p w:rsidR="006B07F4" w:rsidRPr="001A373F" w:rsidRDefault="006B07F4" w:rsidP="00E95934">
                <w:pPr>
                  <w:jc w:val="center"/>
                  <w:rPr>
                    <w:sz w:val="20"/>
                    <w:szCs w:val="20"/>
                  </w:rPr>
                </w:pPr>
                <w:r>
                  <w:rPr>
                    <w:rFonts w:ascii="MS Gothic" w:eastAsia="MS Gothic" w:hAnsi="MS Gothic" w:hint="eastAsia"/>
                    <w:b/>
                    <w:sz w:val="20"/>
                    <w:szCs w:val="20"/>
                  </w:rPr>
                  <w:t>☐</w:t>
                </w:r>
              </w:p>
            </w:sdtContent>
          </w:sdt>
        </w:tc>
      </w:tr>
      <w:tr w:rsidR="006B07F4" w:rsidRPr="009D4D86" w:rsidTr="00E959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51"/>
        </w:trPr>
        <w:tc>
          <w:tcPr>
            <w:tcW w:w="8155" w:type="dxa"/>
            <w:shd w:val="clear" w:color="auto" w:fill="auto"/>
          </w:tcPr>
          <w:p w:rsidR="006B07F4" w:rsidRPr="001A373F" w:rsidRDefault="006B07F4" w:rsidP="006B07F4">
            <w:pPr>
              <w:pStyle w:val="Paragraphedeliste"/>
              <w:numPr>
                <w:ilvl w:val="0"/>
                <w:numId w:val="2"/>
              </w:numPr>
              <w:ind w:left="318"/>
              <w:rPr>
                <w:szCs w:val="20"/>
              </w:rPr>
            </w:pPr>
            <w:r w:rsidRPr="001A373F">
              <w:rPr>
                <w:szCs w:val="20"/>
              </w:rPr>
              <w:t xml:space="preserve">En cas de double égalité, prévoir un tirage au sort (ou choisir le soumissionnaire qui convient le plus) </w:t>
            </w:r>
            <w:r>
              <w:rPr>
                <w:szCs w:val="20"/>
              </w:rPr>
              <w:t xml:space="preserve">et </w:t>
            </w:r>
            <w:r w:rsidRPr="001A373F">
              <w:rPr>
                <w:szCs w:val="20"/>
              </w:rPr>
              <w:t>dans le cas du tirage au sort, inviter les soumissionnaires concernés et faire un compte</w:t>
            </w:r>
            <w:r>
              <w:rPr>
                <w:szCs w:val="20"/>
              </w:rPr>
              <w:t xml:space="preserve"> </w:t>
            </w:r>
            <w:r w:rsidRPr="001A373F">
              <w:rPr>
                <w:szCs w:val="20"/>
              </w:rPr>
              <w:t>rendu du tirage au sort, paraphé par les personnes participantes (au moins 2 personnes)*</w:t>
            </w:r>
          </w:p>
        </w:tc>
        <w:tc>
          <w:tcPr>
            <w:tcW w:w="1569" w:type="dxa"/>
            <w:shd w:val="clear" w:color="auto" w:fill="D7EDF8"/>
          </w:tcPr>
          <w:sdt>
            <w:sdtPr>
              <w:rPr>
                <w:b/>
                <w:sz w:val="20"/>
                <w:szCs w:val="20"/>
              </w:rPr>
              <w:id w:val="288567095"/>
              <w14:checkbox>
                <w14:checked w14:val="0"/>
                <w14:checkedState w14:val="2612" w14:font="MS Gothic"/>
                <w14:uncheckedState w14:val="2610" w14:font="MS Gothic"/>
              </w14:checkbox>
            </w:sdtPr>
            <w:sdtEndPr/>
            <w:sdtContent>
              <w:p w:rsidR="006B07F4" w:rsidRPr="001A373F" w:rsidRDefault="006B07F4" w:rsidP="00E95934">
                <w:pPr>
                  <w:jc w:val="center"/>
                  <w:rPr>
                    <w:sz w:val="20"/>
                    <w:szCs w:val="20"/>
                  </w:rPr>
                </w:pPr>
                <w:r>
                  <w:rPr>
                    <w:rFonts w:ascii="MS Gothic" w:eastAsia="MS Gothic" w:hAnsi="MS Gothic" w:hint="eastAsia"/>
                    <w:b/>
                    <w:sz w:val="20"/>
                    <w:szCs w:val="20"/>
                  </w:rPr>
                  <w:t>☐</w:t>
                </w:r>
              </w:p>
            </w:sdtContent>
          </w:sdt>
        </w:tc>
      </w:tr>
      <w:tr w:rsidR="006B07F4" w:rsidRPr="009D4D86" w:rsidTr="00E959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9"/>
        </w:trPr>
        <w:tc>
          <w:tcPr>
            <w:tcW w:w="9724" w:type="dxa"/>
            <w:gridSpan w:val="2"/>
            <w:shd w:val="clear" w:color="auto" w:fill="2C2F88"/>
          </w:tcPr>
          <w:p w:rsidR="006B07F4" w:rsidRPr="001A373F" w:rsidRDefault="006B07F4" w:rsidP="00E95934">
            <w:pPr>
              <w:pStyle w:val="Paragraphegras"/>
              <w:ind w:left="318"/>
              <w:jc w:val="center"/>
            </w:pPr>
            <w:r w:rsidRPr="004271A4">
              <w:rPr>
                <w:color w:val="auto"/>
              </w:rPr>
              <w:t>Rapport du comité de sélection</w:t>
            </w:r>
          </w:p>
        </w:tc>
      </w:tr>
      <w:tr w:rsidR="006B07F4" w:rsidRPr="009D4D86" w:rsidTr="00E959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1"/>
        </w:trPr>
        <w:tc>
          <w:tcPr>
            <w:tcW w:w="8155" w:type="dxa"/>
          </w:tcPr>
          <w:p w:rsidR="006B07F4" w:rsidRPr="001A373F" w:rsidRDefault="006B07F4" w:rsidP="006B07F4">
            <w:pPr>
              <w:pStyle w:val="Paragraphedeliste"/>
              <w:numPr>
                <w:ilvl w:val="0"/>
                <w:numId w:val="2"/>
              </w:numPr>
              <w:ind w:left="318"/>
              <w:rPr>
                <w:szCs w:val="20"/>
              </w:rPr>
            </w:pPr>
            <w:r>
              <w:rPr>
                <w:szCs w:val="20"/>
              </w:rPr>
              <w:t>Remplir le « r</w:t>
            </w:r>
            <w:r w:rsidRPr="001A373F">
              <w:rPr>
                <w:szCs w:val="20"/>
              </w:rPr>
              <w:t>apport du comité de sélection »</w:t>
            </w:r>
          </w:p>
        </w:tc>
        <w:tc>
          <w:tcPr>
            <w:tcW w:w="1569" w:type="dxa"/>
            <w:shd w:val="clear" w:color="auto" w:fill="D7EDF8"/>
          </w:tcPr>
          <w:sdt>
            <w:sdtPr>
              <w:rPr>
                <w:b/>
                <w:sz w:val="20"/>
                <w:szCs w:val="20"/>
              </w:rPr>
              <w:id w:val="-1421097341"/>
              <w14:checkbox>
                <w14:checked w14:val="0"/>
                <w14:checkedState w14:val="2612" w14:font="MS Gothic"/>
                <w14:uncheckedState w14:val="2610" w14:font="MS Gothic"/>
              </w14:checkbox>
            </w:sdtPr>
            <w:sdtEndPr/>
            <w:sdtContent>
              <w:p w:rsidR="006B07F4" w:rsidRPr="001A373F" w:rsidRDefault="006B07F4" w:rsidP="00E95934">
                <w:pPr>
                  <w:jc w:val="center"/>
                  <w:rPr>
                    <w:sz w:val="20"/>
                    <w:szCs w:val="20"/>
                  </w:rPr>
                </w:pPr>
                <w:r>
                  <w:rPr>
                    <w:rFonts w:ascii="MS Gothic" w:eastAsia="MS Gothic" w:hAnsi="MS Gothic" w:hint="eastAsia"/>
                    <w:b/>
                    <w:sz w:val="20"/>
                    <w:szCs w:val="20"/>
                  </w:rPr>
                  <w:t>☐</w:t>
                </w:r>
              </w:p>
            </w:sdtContent>
          </w:sdt>
        </w:tc>
      </w:tr>
      <w:tr w:rsidR="006B07F4" w:rsidRPr="009D4D86" w:rsidTr="00E959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1"/>
        </w:trPr>
        <w:tc>
          <w:tcPr>
            <w:tcW w:w="8155" w:type="dxa"/>
          </w:tcPr>
          <w:p w:rsidR="006B07F4" w:rsidRPr="001A373F" w:rsidRDefault="006B07F4" w:rsidP="006B07F4">
            <w:pPr>
              <w:pStyle w:val="Paragraphedeliste"/>
              <w:numPr>
                <w:ilvl w:val="0"/>
                <w:numId w:val="2"/>
              </w:numPr>
              <w:ind w:left="318"/>
              <w:rPr>
                <w:szCs w:val="20"/>
              </w:rPr>
            </w:pPr>
            <w:r w:rsidRPr="001A373F">
              <w:rPr>
                <w:szCs w:val="20"/>
              </w:rPr>
              <w:t>Signer et faire signer les membres du comité</w:t>
            </w:r>
          </w:p>
        </w:tc>
        <w:tc>
          <w:tcPr>
            <w:tcW w:w="1569" w:type="dxa"/>
            <w:shd w:val="clear" w:color="auto" w:fill="D7EDF8"/>
          </w:tcPr>
          <w:sdt>
            <w:sdtPr>
              <w:rPr>
                <w:b/>
                <w:sz w:val="20"/>
                <w:szCs w:val="20"/>
              </w:rPr>
              <w:id w:val="-236788201"/>
              <w14:checkbox>
                <w14:checked w14:val="0"/>
                <w14:checkedState w14:val="2612" w14:font="MS Gothic"/>
                <w14:uncheckedState w14:val="2610" w14:font="MS Gothic"/>
              </w14:checkbox>
            </w:sdtPr>
            <w:sdtEndPr/>
            <w:sdtContent>
              <w:p w:rsidR="006B07F4" w:rsidRPr="001A373F" w:rsidRDefault="006B07F4" w:rsidP="00E95934">
                <w:pPr>
                  <w:jc w:val="center"/>
                  <w:rPr>
                    <w:sz w:val="20"/>
                    <w:szCs w:val="20"/>
                  </w:rPr>
                </w:pPr>
                <w:r>
                  <w:rPr>
                    <w:rFonts w:ascii="MS Gothic" w:eastAsia="MS Gothic" w:hAnsi="MS Gothic" w:hint="eastAsia"/>
                    <w:b/>
                    <w:sz w:val="20"/>
                    <w:szCs w:val="20"/>
                  </w:rPr>
                  <w:t>☐</w:t>
                </w:r>
              </w:p>
            </w:sdtContent>
          </w:sdt>
        </w:tc>
      </w:tr>
      <w:tr w:rsidR="006B07F4" w:rsidRPr="009D4D86" w:rsidTr="00E959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9"/>
        </w:trPr>
        <w:tc>
          <w:tcPr>
            <w:tcW w:w="9724" w:type="dxa"/>
            <w:gridSpan w:val="2"/>
            <w:shd w:val="clear" w:color="auto" w:fill="2C2F88"/>
          </w:tcPr>
          <w:p w:rsidR="006B07F4" w:rsidRPr="001A373F" w:rsidRDefault="006B07F4" w:rsidP="00E95934">
            <w:pPr>
              <w:pStyle w:val="Paragraphegras"/>
              <w:ind w:left="318"/>
              <w:jc w:val="center"/>
            </w:pPr>
            <w:r w:rsidRPr="004271A4">
              <w:rPr>
                <w:color w:val="auto"/>
              </w:rPr>
              <w:t>Clôture du comité de sélection</w:t>
            </w:r>
          </w:p>
        </w:tc>
      </w:tr>
      <w:tr w:rsidR="006B07F4" w:rsidRPr="009D4D86" w:rsidTr="00E959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1"/>
        </w:trPr>
        <w:tc>
          <w:tcPr>
            <w:tcW w:w="8155" w:type="dxa"/>
          </w:tcPr>
          <w:p w:rsidR="006B07F4" w:rsidRPr="001A373F" w:rsidRDefault="006B07F4" w:rsidP="006B07F4">
            <w:pPr>
              <w:pStyle w:val="Paragraphedeliste"/>
              <w:numPr>
                <w:ilvl w:val="0"/>
                <w:numId w:val="2"/>
              </w:numPr>
              <w:ind w:left="318"/>
              <w:rPr>
                <w:szCs w:val="20"/>
              </w:rPr>
            </w:pPr>
            <w:r w:rsidRPr="001A373F">
              <w:rPr>
                <w:szCs w:val="20"/>
              </w:rPr>
              <w:t>Faire parapher l</w:t>
            </w:r>
            <w:r>
              <w:rPr>
                <w:szCs w:val="20"/>
              </w:rPr>
              <w:t>es notes personnelles et les « g</w:t>
            </w:r>
            <w:r w:rsidRPr="001A373F">
              <w:rPr>
                <w:szCs w:val="20"/>
              </w:rPr>
              <w:t>rilles d’analyse préliminaire »</w:t>
            </w:r>
          </w:p>
        </w:tc>
        <w:tc>
          <w:tcPr>
            <w:tcW w:w="1569" w:type="dxa"/>
            <w:shd w:val="clear" w:color="auto" w:fill="D7EDF8"/>
          </w:tcPr>
          <w:sdt>
            <w:sdtPr>
              <w:rPr>
                <w:b/>
                <w:sz w:val="20"/>
                <w:szCs w:val="20"/>
              </w:rPr>
              <w:id w:val="2002084587"/>
              <w14:checkbox>
                <w14:checked w14:val="0"/>
                <w14:checkedState w14:val="2612" w14:font="MS Gothic"/>
                <w14:uncheckedState w14:val="2610" w14:font="MS Gothic"/>
              </w14:checkbox>
            </w:sdtPr>
            <w:sdtEndPr/>
            <w:sdtContent>
              <w:p w:rsidR="006B07F4" w:rsidRPr="001A373F" w:rsidRDefault="006B07F4" w:rsidP="00E95934">
                <w:pPr>
                  <w:jc w:val="center"/>
                  <w:rPr>
                    <w:sz w:val="20"/>
                    <w:szCs w:val="20"/>
                  </w:rPr>
                </w:pPr>
                <w:r>
                  <w:rPr>
                    <w:rFonts w:ascii="MS Gothic" w:eastAsia="MS Gothic" w:hAnsi="MS Gothic" w:hint="eastAsia"/>
                    <w:b/>
                    <w:sz w:val="20"/>
                    <w:szCs w:val="20"/>
                  </w:rPr>
                  <w:t>☐</w:t>
                </w:r>
              </w:p>
            </w:sdtContent>
          </w:sdt>
        </w:tc>
      </w:tr>
      <w:tr w:rsidR="006B07F4" w:rsidRPr="009D4D86" w:rsidTr="00E959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9"/>
        </w:trPr>
        <w:tc>
          <w:tcPr>
            <w:tcW w:w="8155" w:type="dxa"/>
          </w:tcPr>
          <w:p w:rsidR="006B07F4" w:rsidRPr="001A373F" w:rsidRDefault="006B07F4" w:rsidP="006B07F4">
            <w:pPr>
              <w:pStyle w:val="Paragraphedeliste"/>
              <w:numPr>
                <w:ilvl w:val="0"/>
                <w:numId w:val="2"/>
              </w:numPr>
              <w:ind w:left="318"/>
              <w:rPr>
                <w:szCs w:val="20"/>
              </w:rPr>
            </w:pPr>
            <w:r w:rsidRPr="001A373F">
              <w:rPr>
                <w:szCs w:val="20"/>
              </w:rPr>
              <w:t>Garder et archiver tous les documents originaux nécessaires (notes de travail, grilles d’analyse préliminaire, grille</w:t>
            </w:r>
            <w:r>
              <w:rPr>
                <w:szCs w:val="20"/>
              </w:rPr>
              <w:t>s</w:t>
            </w:r>
            <w:r w:rsidRPr="001A373F">
              <w:rPr>
                <w:szCs w:val="20"/>
              </w:rPr>
              <w:t xml:space="preserve"> d’évaluation, rapport</w:t>
            </w:r>
            <w:r>
              <w:rPr>
                <w:szCs w:val="20"/>
              </w:rPr>
              <w:t>s</w:t>
            </w:r>
            <w:r w:rsidRPr="001A373F">
              <w:rPr>
                <w:szCs w:val="20"/>
              </w:rPr>
              <w:t>, résolution</w:t>
            </w:r>
            <w:r>
              <w:rPr>
                <w:szCs w:val="20"/>
              </w:rPr>
              <w:t>s</w:t>
            </w:r>
            <w:r w:rsidRPr="001A373F">
              <w:rPr>
                <w:szCs w:val="20"/>
              </w:rPr>
              <w:t xml:space="preserve"> du conseil, etc.)</w:t>
            </w:r>
          </w:p>
        </w:tc>
        <w:tc>
          <w:tcPr>
            <w:tcW w:w="1569" w:type="dxa"/>
            <w:shd w:val="clear" w:color="auto" w:fill="D7EDF8"/>
          </w:tcPr>
          <w:sdt>
            <w:sdtPr>
              <w:rPr>
                <w:b/>
                <w:sz w:val="20"/>
                <w:szCs w:val="20"/>
              </w:rPr>
              <w:id w:val="456452327"/>
              <w14:checkbox>
                <w14:checked w14:val="0"/>
                <w14:checkedState w14:val="2612" w14:font="MS Gothic"/>
                <w14:uncheckedState w14:val="2610" w14:font="MS Gothic"/>
              </w14:checkbox>
            </w:sdtPr>
            <w:sdtEndPr/>
            <w:sdtContent>
              <w:p w:rsidR="006B07F4" w:rsidRPr="001A373F" w:rsidRDefault="006B07F4" w:rsidP="00E95934">
                <w:pPr>
                  <w:jc w:val="center"/>
                  <w:rPr>
                    <w:b/>
                    <w:sz w:val="20"/>
                    <w:szCs w:val="20"/>
                  </w:rPr>
                </w:pPr>
                <w:r>
                  <w:rPr>
                    <w:rFonts w:ascii="MS Gothic" w:eastAsia="MS Gothic" w:hAnsi="MS Gothic" w:hint="eastAsia"/>
                    <w:b/>
                    <w:sz w:val="20"/>
                    <w:szCs w:val="20"/>
                  </w:rPr>
                  <w:t>☐</w:t>
                </w:r>
              </w:p>
            </w:sdtContent>
          </w:sdt>
        </w:tc>
      </w:tr>
      <w:tr w:rsidR="006B07F4" w:rsidRPr="009D4D86" w:rsidTr="00E959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9"/>
        </w:trPr>
        <w:tc>
          <w:tcPr>
            <w:tcW w:w="9724" w:type="dxa"/>
            <w:gridSpan w:val="2"/>
            <w:shd w:val="clear" w:color="auto" w:fill="2C2F88"/>
          </w:tcPr>
          <w:p w:rsidR="006B07F4" w:rsidRPr="001A373F" w:rsidRDefault="006B07F4" w:rsidP="00E95934">
            <w:pPr>
              <w:pStyle w:val="Paragraphegras"/>
              <w:ind w:left="318"/>
              <w:jc w:val="center"/>
            </w:pPr>
            <w:r w:rsidRPr="004271A4">
              <w:rPr>
                <w:color w:val="auto"/>
              </w:rPr>
              <w:t>Transmission des informations aux soumissionnaires</w:t>
            </w:r>
          </w:p>
        </w:tc>
      </w:tr>
      <w:tr w:rsidR="006B07F4" w:rsidRPr="009D4D86" w:rsidTr="00E959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1"/>
        </w:trPr>
        <w:tc>
          <w:tcPr>
            <w:tcW w:w="8155" w:type="dxa"/>
          </w:tcPr>
          <w:p w:rsidR="006B07F4" w:rsidRPr="001A373F" w:rsidRDefault="006B07F4" w:rsidP="006B07F4">
            <w:pPr>
              <w:pStyle w:val="Paragraphedeliste"/>
              <w:numPr>
                <w:ilvl w:val="0"/>
                <w:numId w:val="2"/>
              </w:numPr>
              <w:ind w:left="318"/>
              <w:rPr>
                <w:szCs w:val="20"/>
              </w:rPr>
            </w:pPr>
            <w:r w:rsidRPr="001A373F">
              <w:rPr>
                <w:szCs w:val="20"/>
              </w:rPr>
              <w:t>Envoi d’une lettre réponse et des résultats aux soumissionnaires, dans les XX jours suivant l’adoption de la résolution par le conseil municipal</w:t>
            </w:r>
          </w:p>
        </w:tc>
        <w:tc>
          <w:tcPr>
            <w:tcW w:w="1569" w:type="dxa"/>
            <w:shd w:val="clear" w:color="auto" w:fill="D7EDF8"/>
          </w:tcPr>
          <w:sdt>
            <w:sdtPr>
              <w:rPr>
                <w:b/>
                <w:sz w:val="20"/>
                <w:szCs w:val="20"/>
              </w:rPr>
              <w:id w:val="1340580508"/>
              <w14:checkbox>
                <w14:checked w14:val="0"/>
                <w14:checkedState w14:val="2612" w14:font="MS Gothic"/>
                <w14:uncheckedState w14:val="2610" w14:font="MS Gothic"/>
              </w14:checkbox>
            </w:sdtPr>
            <w:sdtEndPr/>
            <w:sdtContent>
              <w:p w:rsidR="006B07F4" w:rsidRPr="001A373F" w:rsidRDefault="006B07F4" w:rsidP="00E95934">
                <w:pPr>
                  <w:jc w:val="center"/>
                  <w:rPr>
                    <w:sz w:val="20"/>
                    <w:szCs w:val="20"/>
                  </w:rPr>
                </w:pPr>
                <w:r>
                  <w:rPr>
                    <w:rFonts w:ascii="MS Gothic" w:eastAsia="MS Gothic" w:hAnsi="MS Gothic" w:hint="eastAsia"/>
                    <w:b/>
                    <w:sz w:val="20"/>
                    <w:szCs w:val="20"/>
                  </w:rPr>
                  <w:t>☐</w:t>
                </w:r>
              </w:p>
            </w:sdtContent>
          </w:sdt>
        </w:tc>
      </w:tr>
      <w:tr w:rsidR="006B07F4" w:rsidRPr="009D4D86" w:rsidTr="00E959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1"/>
        </w:trPr>
        <w:tc>
          <w:tcPr>
            <w:tcW w:w="8155" w:type="dxa"/>
          </w:tcPr>
          <w:p w:rsidR="006B07F4" w:rsidRPr="001A373F" w:rsidRDefault="006B07F4" w:rsidP="006B07F4">
            <w:pPr>
              <w:pStyle w:val="Paragraphedeliste"/>
              <w:numPr>
                <w:ilvl w:val="0"/>
                <w:numId w:val="2"/>
              </w:numPr>
              <w:ind w:left="318"/>
              <w:rPr>
                <w:szCs w:val="20"/>
              </w:rPr>
            </w:pPr>
            <w:r w:rsidRPr="001A373F">
              <w:rPr>
                <w:szCs w:val="20"/>
              </w:rPr>
              <w:t>Publication des résultats dans le SEAO</w:t>
            </w:r>
          </w:p>
        </w:tc>
        <w:tc>
          <w:tcPr>
            <w:tcW w:w="1569" w:type="dxa"/>
            <w:shd w:val="clear" w:color="auto" w:fill="D7EDF8"/>
          </w:tcPr>
          <w:sdt>
            <w:sdtPr>
              <w:rPr>
                <w:b/>
                <w:sz w:val="20"/>
                <w:szCs w:val="20"/>
              </w:rPr>
              <w:id w:val="-1717811714"/>
              <w14:checkbox>
                <w14:checked w14:val="0"/>
                <w14:checkedState w14:val="2612" w14:font="MS Gothic"/>
                <w14:uncheckedState w14:val="2610" w14:font="MS Gothic"/>
              </w14:checkbox>
            </w:sdtPr>
            <w:sdtEndPr/>
            <w:sdtContent>
              <w:p w:rsidR="006B07F4" w:rsidRPr="001A373F" w:rsidRDefault="006B07F4" w:rsidP="00E95934">
                <w:pPr>
                  <w:jc w:val="center"/>
                  <w:rPr>
                    <w:b/>
                    <w:sz w:val="20"/>
                    <w:szCs w:val="20"/>
                  </w:rPr>
                </w:pPr>
                <w:r>
                  <w:rPr>
                    <w:rFonts w:ascii="MS Gothic" w:eastAsia="MS Gothic" w:hAnsi="MS Gothic" w:hint="eastAsia"/>
                    <w:b/>
                    <w:sz w:val="20"/>
                    <w:szCs w:val="20"/>
                  </w:rPr>
                  <w:t>☐</w:t>
                </w:r>
              </w:p>
            </w:sdtContent>
          </w:sdt>
        </w:tc>
      </w:tr>
      <w:tr w:rsidR="006B07F4" w:rsidRPr="009D4D86" w:rsidTr="00E959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1"/>
        </w:trPr>
        <w:tc>
          <w:tcPr>
            <w:tcW w:w="8155" w:type="dxa"/>
          </w:tcPr>
          <w:p w:rsidR="006B07F4" w:rsidRPr="001A373F" w:rsidRDefault="006B07F4" w:rsidP="006B07F4">
            <w:pPr>
              <w:pStyle w:val="Paragraphedeliste"/>
              <w:numPr>
                <w:ilvl w:val="0"/>
                <w:numId w:val="2"/>
              </w:numPr>
              <w:ind w:left="318"/>
              <w:rPr>
                <w:szCs w:val="20"/>
              </w:rPr>
            </w:pPr>
            <w:r w:rsidRPr="001A373F">
              <w:rPr>
                <w:szCs w:val="20"/>
              </w:rPr>
              <w:t>Retourner les enveloppes de prix non décachetées des soumissionnaires ayant présenté une offre non acceptable ou non conforme</w:t>
            </w:r>
          </w:p>
        </w:tc>
        <w:tc>
          <w:tcPr>
            <w:tcW w:w="1569" w:type="dxa"/>
            <w:shd w:val="clear" w:color="auto" w:fill="D7EDF8"/>
          </w:tcPr>
          <w:sdt>
            <w:sdtPr>
              <w:rPr>
                <w:b/>
                <w:sz w:val="20"/>
                <w:szCs w:val="20"/>
              </w:rPr>
              <w:id w:val="1942866763"/>
              <w14:checkbox>
                <w14:checked w14:val="0"/>
                <w14:checkedState w14:val="2612" w14:font="MS Gothic"/>
                <w14:uncheckedState w14:val="2610" w14:font="MS Gothic"/>
              </w14:checkbox>
            </w:sdtPr>
            <w:sdtEndPr/>
            <w:sdtContent>
              <w:p w:rsidR="006B07F4" w:rsidRPr="001A373F" w:rsidRDefault="006B07F4" w:rsidP="00E95934">
                <w:pPr>
                  <w:jc w:val="center"/>
                  <w:rPr>
                    <w:sz w:val="20"/>
                    <w:szCs w:val="20"/>
                  </w:rPr>
                </w:pPr>
                <w:r>
                  <w:rPr>
                    <w:rFonts w:ascii="MS Gothic" w:eastAsia="MS Gothic" w:hAnsi="MS Gothic" w:hint="eastAsia"/>
                    <w:b/>
                    <w:sz w:val="20"/>
                    <w:szCs w:val="20"/>
                  </w:rPr>
                  <w:t>☐</w:t>
                </w:r>
              </w:p>
            </w:sdtContent>
          </w:sdt>
        </w:tc>
      </w:tr>
      <w:tr w:rsidR="006B07F4" w:rsidRPr="00553B7B" w:rsidTr="00E959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0"/>
        </w:trPr>
        <w:tc>
          <w:tcPr>
            <w:tcW w:w="8155" w:type="dxa"/>
          </w:tcPr>
          <w:p w:rsidR="006B07F4" w:rsidRPr="001A373F" w:rsidRDefault="006B07F4" w:rsidP="006B07F4">
            <w:pPr>
              <w:pStyle w:val="Paragraphedeliste"/>
              <w:numPr>
                <w:ilvl w:val="0"/>
                <w:numId w:val="2"/>
              </w:numPr>
              <w:ind w:left="318"/>
              <w:rPr>
                <w:szCs w:val="20"/>
              </w:rPr>
            </w:pPr>
            <w:r w:rsidRPr="001A373F">
              <w:rPr>
                <w:szCs w:val="20"/>
              </w:rPr>
              <w:t xml:space="preserve">Répondre, s’il y a lieu, aux requêtes des soumissionnaires </w:t>
            </w:r>
            <w:r>
              <w:rPr>
                <w:szCs w:val="20"/>
              </w:rPr>
              <w:t xml:space="preserve">concernant le </w:t>
            </w:r>
            <w:r w:rsidRPr="001A373F">
              <w:rPr>
                <w:szCs w:val="20"/>
              </w:rPr>
              <w:t>déroulement du comité</w:t>
            </w:r>
          </w:p>
        </w:tc>
        <w:tc>
          <w:tcPr>
            <w:tcW w:w="1569" w:type="dxa"/>
            <w:shd w:val="clear" w:color="auto" w:fill="D7EDF8"/>
          </w:tcPr>
          <w:sdt>
            <w:sdtPr>
              <w:rPr>
                <w:b/>
                <w:sz w:val="20"/>
                <w:szCs w:val="20"/>
              </w:rPr>
              <w:id w:val="1443578815"/>
              <w14:checkbox>
                <w14:checked w14:val="0"/>
                <w14:checkedState w14:val="2612" w14:font="MS Gothic"/>
                <w14:uncheckedState w14:val="2610" w14:font="MS Gothic"/>
              </w14:checkbox>
            </w:sdtPr>
            <w:sdtEndPr/>
            <w:sdtContent>
              <w:p w:rsidR="006B07F4" w:rsidRPr="001A373F" w:rsidRDefault="006B07F4" w:rsidP="00E95934">
                <w:pPr>
                  <w:jc w:val="center"/>
                  <w:rPr>
                    <w:sz w:val="20"/>
                    <w:szCs w:val="20"/>
                  </w:rPr>
                </w:pPr>
                <w:r>
                  <w:rPr>
                    <w:rFonts w:ascii="MS Gothic" w:eastAsia="MS Gothic" w:hAnsi="MS Gothic" w:hint="eastAsia"/>
                    <w:b/>
                    <w:sz w:val="20"/>
                    <w:szCs w:val="20"/>
                  </w:rPr>
                  <w:t>☐</w:t>
                </w:r>
              </w:p>
            </w:sdtContent>
          </w:sdt>
        </w:tc>
      </w:tr>
    </w:tbl>
    <w:p w:rsidR="00CD2E0E" w:rsidRDefault="001A394B"/>
    <w:sectPr w:rsidR="00CD2E0E" w:rsidSect="006B07F4">
      <w:pgSz w:w="12240" w:h="15840" w:code="1"/>
      <w:pgMar w:top="1021" w:right="567" w:bottom="1021" w:left="6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07F4" w:rsidRDefault="006B07F4" w:rsidP="006B07F4">
      <w:pPr>
        <w:spacing w:before="0" w:after="0"/>
      </w:pPr>
      <w:r>
        <w:separator/>
      </w:r>
    </w:p>
  </w:endnote>
  <w:endnote w:type="continuationSeparator" w:id="0">
    <w:p w:rsidR="006B07F4" w:rsidRDefault="006B07F4" w:rsidP="006B07F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07F4" w:rsidRDefault="006B07F4" w:rsidP="006B07F4">
      <w:pPr>
        <w:spacing w:before="0" w:after="0"/>
      </w:pPr>
      <w:r>
        <w:separator/>
      </w:r>
    </w:p>
  </w:footnote>
  <w:footnote w:type="continuationSeparator" w:id="0">
    <w:p w:rsidR="006B07F4" w:rsidRDefault="006B07F4" w:rsidP="006B07F4">
      <w:pPr>
        <w:spacing w:before="0" w:after="0"/>
      </w:pPr>
      <w:r>
        <w:continuationSeparator/>
      </w:r>
    </w:p>
  </w:footnote>
  <w:footnote w:id="1">
    <w:p w:rsidR="006B07F4" w:rsidRDefault="006B07F4" w:rsidP="006B07F4">
      <w:pPr>
        <w:pStyle w:val="Notedebasdepage"/>
        <w:rPr>
          <w:rFonts w:ascii="Arial" w:hAnsi="Arial"/>
          <w:sz w:val="14"/>
          <w:szCs w:val="14"/>
        </w:rPr>
      </w:pPr>
      <w:r w:rsidRPr="00553B7B">
        <w:rPr>
          <w:rStyle w:val="Appelnotedebasdep"/>
          <w:rFonts w:ascii="Arial" w:eastAsiaTheme="majorEastAsia" w:hAnsi="Arial"/>
          <w:sz w:val="14"/>
          <w:szCs w:val="14"/>
        </w:rPr>
        <w:footnoteRef/>
      </w:r>
      <w:r w:rsidRPr="00553B7B">
        <w:rPr>
          <w:rFonts w:ascii="Arial" w:hAnsi="Arial"/>
          <w:sz w:val="14"/>
          <w:szCs w:val="14"/>
        </w:rPr>
        <w:t xml:space="preserve"> </w:t>
      </w:r>
      <w:r w:rsidRPr="00553B7B">
        <w:rPr>
          <w:rFonts w:ascii="Arial" w:hAnsi="Arial"/>
          <w:sz w:val="14"/>
          <w:szCs w:val="14"/>
        </w:rPr>
        <w:tab/>
        <w:t xml:space="preserve">Pour la grille de pondération avec prix, il serait judicieux de prévoir la façon de départager les soumissionnaires dans le cas d’une égalité, au pointage final, et d’inscrire cette information dans les documents d’appels d’offres. Même si ce cas de figure n’est pas prévu dans la Loi, l’intégrer dans les documents remis aux soumissionnaires peut prévenir une contestation de la décision s’il advenait une telle égalité. </w:t>
      </w:r>
    </w:p>
    <w:p w:rsidR="006B07F4" w:rsidRDefault="006B07F4" w:rsidP="006B07F4">
      <w:pPr>
        <w:pStyle w:val="Notedebasdepage"/>
        <w:ind w:left="567" w:hanging="283"/>
      </w:pPr>
      <w:r w:rsidRPr="00553B7B">
        <w:rPr>
          <w:rFonts w:ascii="Arial" w:hAnsi="Arial"/>
          <w:sz w:val="14"/>
          <w:szCs w:val="14"/>
        </w:rPr>
        <w:t>*</w:t>
      </w:r>
      <w:r>
        <w:rPr>
          <w:rFonts w:ascii="Arial" w:hAnsi="Arial"/>
          <w:sz w:val="14"/>
          <w:szCs w:val="14"/>
        </w:rPr>
        <w:t xml:space="preserve"> </w:t>
      </w:r>
      <w:r w:rsidRPr="00553B7B">
        <w:rPr>
          <w:rFonts w:ascii="Arial" w:hAnsi="Arial"/>
          <w:sz w:val="14"/>
          <w:szCs w:val="14"/>
        </w:rPr>
        <w:t>Lorsque le mode d’adjudication choisi est le mode à deux étapes.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CA1131"/>
    <w:multiLevelType w:val="hybridMultilevel"/>
    <w:tmpl w:val="398657DC"/>
    <w:lvl w:ilvl="0" w:tplc="0C0C0005">
      <w:start w:val="1"/>
      <w:numFmt w:val="bullet"/>
      <w:lvlText w:val=""/>
      <w:lvlJc w:val="left"/>
      <w:pPr>
        <w:ind w:left="1428" w:hanging="360"/>
      </w:pPr>
      <w:rPr>
        <w:rFonts w:ascii="Wingdings" w:hAnsi="Wingdings" w:hint="default"/>
      </w:rPr>
    </w:lvl>
    <w:lvl w:ilvl="1" w:tplc="0C0C0003" w:tentative="1">
      <w:start w:val="1"/>
      <w:numFmt w:val="bullet"/>
      <w:lvlText w:val="o"/>
      <w:lvlJc w:val="left"/>
      <w:pPr>
        <w:ind w:left="2148" w:hanging="360"/>
      </w:pPr>
      <w:rPr>
        <w:rFonts w:ascii="Courier New" w:hAnsi="Courier New" w:cs="Courier New" w:hint="default"/>
      </w:rPr>
    </w:lvl>
    <w:lvl w:ilvl="2" w:tplc="0C0C0005" w:tentative="1">
      <w:start w:val="1"/>
      <w:numFmt w:val="bullet"/>
      <w:lvlText w:val=""/>
      <w:lvlJc w:val="left"/>
      <w:pPr>
        <w:ind w:left="2868" w:hanging="360"/>
      </w:pPr>
      <w:rPr>
        <w:rFonts w:ascii="Wingdings" w:hAnsi="Wingdings" w:hint="default"/>
      </w:rPr>
    </w:lvl>
    <w:lvl w:ilvl="3" w:tplc="0C0C0001" w:tentative="1">
      <w:start w:val="1"/>
      <w:numFmt w:val="bullet"/>
      <w:lvlText w:val=""/>
      <w:lvlJc w:val="left"/>
      <w:pPr>
        <w:ind w:left="3588" w:hanging="360"/>
      </w:pPr>
      <w:rPr>
        <w:rFonts w:ascii="Symbol" w:hAnsi="Symbol" w:hint="default"/>
      </w:rPr>
    </w:lvl>
    <w:lvl w:ilvl="4" w:tplc="0C0C0003" w:tentative="1">
      <w:start w:val="1"/>
      <w:numFmt w:val="bullet"/>
      <w:lvlText w:val="o"/>
      <w:lvlJc w:val="left"/>
      <w:pPr>
        <w:ind w:left="4308" w:hanging="360"/>
      </w:pPr>
      <w:rPr>
        <w:rFonts w:ascii="Courier New" w:hAnsi="Courier New" w:cs="Courier New" w:hint="default"/>
      </w:rPr>
    </w:lvl>
    <w:lvl w:ilvl="5" w:tplc="0C0C0005" w:tentative="1">
      <w:start w:val="1"/>
      <w:numFmt w:val="bullet"/>
      <w:lvlText w:val=""/>
      <w:lvlJc w:val="left"/>
      <w:pPr>
        <w:ind w:left="5028" w:hanging="360"/>
      </w:pPr>
      <w:rPr>
        <w:rFonts w:ascii="Wingdings" w:hAnsi="Wingdings" w:hint="default"/>
      </w:rPr>
    </w:lvl>
    <w:lvl w:ilvl="6" w:tplc="0C0C0001" w:tentative="1">
      <w:start w:val="1"/>
      <w:numFmt w:val="bullet"/>
      <w:lvlText w:val=""/>
      <w:lvlJc w:val="left"/>
      <w:pPr>
        <w:ind w:left="5748" w:hanging="360"/>
      </w:pPr>
      <w:rPr>
        <w:rFonts w:ascii="Symbol" w:hAnsi="Symbol" w:hint="default"/>
      </w:rPr>
    </w:lvl>
    <w:lvl w:ilvl="7" w:tplc="0C0C0003" w:tentative="1">
      <w:start w:val="1"/>
      <w:numFmt w:val="bullet"/>
      <w:lvlText w:val="o"/>
      <w:lvlJc w:val="left"/>
      <w:pPr>
        <w:ind w:left="6468" w:hanging="360"/>
      </w:pPr>
      <w:rPr>
        <w:rFonts w:ascii="Courier New" w:hAnsi="Courier New" w:cs="Courier New" w:hint="default"/>
      </w:rPr>
    </w:lvl>
    <w:lvl w:ilvl="8" w:tplc="0C0C0005" w:tentative="1">
      <w:start w:val="1"/>
      <w:numFmt w:val="bullet"/>
      <w:lvlText w:val=""/>
      <w:lvlJc w:val="left"/>
      <w:pPr>
        <w:ind w:left="7188" w:hanging="360"/>
      </w:pPr>
      <w:rPr>
        <w:rFonts w:ascii="Wingdings" w:hAnsi="Wingdings" w:hint="default"/>
      </w:rPr>
    </w:lvl>
  </w:abstractNum>
  <w:abstractNum w:abstractNumId="1" w15:restartNumberingAfterBreak="0">
    <w:nsid w:val="54B31423"/>
    <w:multiLevelType w:val="hybridMultilevel"/>
    <w:tmpl w:val="3B6CECA0"/>
    <w:lvl w:ilvl="0" w:tplc="0C0C0005">
      <w:start w:val="1"/>
      <w:numFmt w:val="bullet"/>
      <w:lvlText w:val=""/>
      <w:lvlJc w:val="left"/>
      <w:pPr>
        <w:ind w:left="1440" w:hanging="360"/>
      </w:pPr>
      <w:rPr>
        <w:rFonts w:ascii="Wingdings" w:hAnsi="Wingdings"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2" w15:restartNumberingAfterBreak="0">
    <w:nsid w:val="6B974534"/>
    <w:multiLevelType w:val="hybridMultilevel"/>
    <w:tmpl w:val="64F0E530"/>
    <w:lvl w:ilvl="0" w:tplc="F336F638">
      <w:start w:val="1"/>
      <w:numFmt w:val="decimal"/>
      <w:pStyle w:val="Paragraphegras"/>
      <w:lvlText w:val="%1)"/>
      <w:lvlJc w:val="left"/>
      <w:pPr>
        <w:ind w:left="1080" w:hanging="360"/>
      </w:pPr>
      <w:rPr>
        <w:rFonts w:hint="default"/>
        <w:b/>
        <w:color w:val="auto"/>
      </w:rPr>
    </w:lvl>
    <w:lvl w:ilvl="1" w:tplc="EFAE9A4A">
      <w:start w:val="1"/>
      <w:numFmt w:val="lowerLetter"/>
      <w:lvlText w:val="%2)"/>
      <w:lvlJc w:val="left"/>
      <w:pPr>
        <w:ind w:left="1800" w:hanging="360"/>
      </w:pPr>
      <w:rPr>
        <w:rFonts w:hint="default"/>
      </w:rPr>
    </w:lvl>
    <w:lvl w:ilvl="2" w:tplc="0C0C001B" w:tentative="1">
      <w:start w:val="1"/>
      <w:numFmt w:val="lowerRoman"/>
      <w:lvlText w:val="%3."/>
      <w:lvlJc w:val="right"/>
      <w:pPr>
        <w:ind w:left="2520" w:hanging="180"/>
      </w:pPr>
    </w:lvl>
    <w:lvl w:ilvl="3" w:tplc="0C0C000F" w:tentative="1">
      <w:start w:val="1"/>
      <w:numFmt w:val="decimal"/>
      <w:lvlText w:val="%4."/>
      <w:lvlJc w:val="left"/>
      <w:pPr>
        <w:ind w:left="3240" w:hanging="360"/>
      </w:pPr>
    </w:lvl>
    <w:lvl w:ilvl="4" w:tplc="0C0C0019" w:tentative="1">
      <w:start w:val="1"/>
      <w:numFmt w:val="lowerLetter"/>
      <w:lvlText w:val="%5."/>
      <w:lvlJc w:val="left"/>
      <w:pPr>
        <w:ind w:left="3960" w:hanging="360"/>
      </w:pPr>
    </w:lvl>
    <w:lvl w:ilvl="5" w:tplc="0C0C001B" w:tentative="1">
      <w:start w:val="1"/>
      <w:numFmt w:val="lowerRoman"/>
      <w:lvlText w:val="%6."/>
      <w:lvlJc w:val="right"/>
      <w:pPr>
        <w:ind w:left="4680" w:hanging="180"/>
      </w:pPr>
    </w:lvl>
    <w:lvl w:ilvl="6" w:tplc="0C0C000F" w:tentative="1">
      <w:start w:val="1"/>
      <w:numFmt w:val="decimal"/>
      <w:lvlText w:val="%7."/>
      <w:lvlJc w:val="left"/>
      <w:pPr>
        <w:ind w:left="5400" w:hanging="360"/>
      </w:pPr>
    </w:lvl>
    <w:lvl w:ilvl="7" w:tplc="0C0C0019" w:tentative="1">
      <w:start w:val="1"/>
      <w:numFmt w:val="lowerLetter"/>
      <w:lvlText w:val="%8."/>
      <w:lvlJc w:val="left"/>
      <w:pPr>
        <w:ind w:left="6120" w:hanging="360"/>
      </w:pPr>
    </w:lvl>
    <w:lvl w:ilvl="8" w:tplc="0C0C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07F4"/>
    <w:rsid w:val="001A394B"/>
    <w:rsid w:val="006B07F4"/>
    <w:rsid w:val="00936C05"/>
    <w:rsid w:val="00966A45"/>
    <w:rsid w:val="00CF2918"/>
    <w:rsid w:val="00E51651"/>
    <w:rsid w:val="00E71183"/>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8070B5-F2A3-4A7C-A370-535EFC5B7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7F4"/>
    <w:pPr>
      <w:spacing w:before="120" w:after="120" w:line="240" w:lineRule="auto"/>
    </w:pPr>
    <w:rPr>
      <w:rFonts w:ascii="Arial" w:eastAsia="Times" w:hAnsi="Arial" w:cs="Times New Roman"/>
      <w:szCs w:val="24"/>
      <w:lang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6B07F4"/>
    <w:pPr>
      <w:spacing w:before="120" w:after="120" w:line="240" w:lineRule="auto"/>
    </w:pPr>
    <w:rPr>
      <w:rFonts w:ascii="Arial Narrow" w:eastAsia="Times" w:hAnsi="Arial Narrow" w:cs="Times New Roman"/>
      <w:sz w:val="24"/>
      <w:szCs w:val="20"/>
      <w:lang w:val="fr-FR"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tblHeader/>
    </w:trPr>
    <w:tcPr>
      <w:vAlign w:val="center"/>
    </w:tcPr>
  </w:style>
  <w:style w:type="paragraph" w:styleId="Notedebasdepage">
    <w:name w:val="footnote text"/>
    <w:basedOn w:val="Normal"/>
    <w:link w:val="NotedebasdepageCar"/>
    <w:qFormat/>
    <w:rsid w:val="006B07F4"/>
    <w:pPr>
      <w:spacing w:before="40" w:after="0"/>
      <w:ind w:left="284" w:hanging="284"/>
    </w:pPr>
    <w:rPr>
      <w:rFonts w:asciiTheme="minorHAnsi" w:eastAsia="Times New Roman" w:hAnsiTheme="minorHAnsi" w:cs="Arial"/>
      <w:bCs/>
      <w:sz w:val="16"/>
      <w:szCs w:val="20"/>
    </w:rPr>
  </w:style>
  <w:style w:type="character" w:customStyle="1" w:styleId="NotedebasdepageCar">
    <w:name w:val="Note de bas de page Car"/>
    <w:basedOn w:val="Policepardfaut"/>
    <w:link w:val="Notedebasdepage"/>
    <w:rsid w:val="006B07F4"/>
    <w:rPr>
      <w:rFonts w:eastAsia="Times New Roman" w:cs="Arial"/>
      <w:bCs/>
      <w:sz w:val="16"/>
      <w:szCs w:val="20"/>
      <w:lang w:eastAsia="fr-CA"/>
    </w:rPr>
  </w:style>
  <w:style w:type="character" w:styleId="Appelnotedebasdep">
    <w:name w:val="footnote reference"/>
    <w:basedOn w:val="Policepardfaut"/>
    <w:semiHidden/>
    <w:rsid w:val="006B07F4"/>
    <w:rPr>
      <w:vertAlign w:val="superscript"/>
    </w:rPr>
  </w:style>
  <w:style w:type="paragraph" w:styleId="Paragraphedeliste">
    <w:name w:val="List Paragraph"/>
    <w:basedOn w:val="Normal"/>
    <w:uiPriority w:val="34"/>
    <w:qFormat/>
    <w:rsid w:val="006B07F4"/>
    <w:pPr>
      <w:spacing w:before="0" w:after="0"/>
      <w:ind w:left="720"/>
      <w:contextualSpacing/>
    </w:pPr>
    <w:rPr>
      <w:rFonts w:eastAsiaTheme="minorHAnsi" w:cstheme="minorBidi"/>
      <w:sz w:val="20"/>
      <w:szCs w:val="22"/>
      <w:lang w:eastAsia="en-US"/>
    </w:rPr>
  </w:style>
  <w:style w:type="paragraph" w:customStyle="1" w:styleId="Titreannexe">
    <w:name w:val="Titre annexe"/>
    <w:basedOn w:val="Normal"/>
    <w:qFormat/>
    <w:rsid w:val="006B07F4"/>
    <w:pPr>
      <w:keepNext/>
      <w:keepLines/>
      <w:spacing w:before="0" w:after="240"/>
      <w:jc w:val="center"/>
      <w:outlineLvl w:val="0"/>
    </w:pPr>
    <w:rPr>
      <w:rFonts w:eastAsiaTheme="majorEastAsia" w:cs="Arial"/>
      <w:bCs/>
      <w:color w:val="2C2F88"/>
      <w:sz w:val="32"/>
      <w:szCs w:val="28"/>
      <w:lang w:eastAsia="en-US"/>
    </w:rPr>
  </w:style>
  <w:style w:type="paragraph" w:customStyle="1" w:styleId="Paragraphegras">
    <w:name w:val="Paragraphe gras"/>
    <w:basedOn w:val="Paragraphedeliste"/>
    <w:qFormat/>
    <w:rsid w:val="006B07F4"/>
    <w:pPr>
      <w:numPr>
        <w:numId w:val="3"/>
      </w:numPr>
    </w:pPr>
    <w:rPr>
      <w:b/>
      <w:color w:val="00599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679</Words>
  <Characters>3585</Characters>
  <Application>Microsoft Office Word</Application>
  <DocSecurity>0</DocSecurity>
  <Lines>119</Lines>
  <Paragraphs>85</Paragraphs>
  <ScaleCrop>false</ScaleCrop>
  <HeadingPairs>
    <vt:vector size="2" baseType="variant">
      <vt:variant>
        <vt:lpstr>Titre</vt:lpstr>
      </vt:variant>
      <vt:variant>
        <vt:i4>1</vt:i4>
      </vt:variant>
    </vt:vector>
  </HeadingPairs>
  <TitlesOfParts>
    <vt:vector size="1" baseType="lpstr">
      <vt:lpstr>Aide-mémoire du secrétaire du comité de sélection</vt:lpstr>
    </vt:vector>
  </TitlesOfParts>
  <Company>Gouvernement du Québec</Company>
  <LinksUpToDate>false</LinksUpToDate>
  <CharactersWithSpaces>4195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Aide-mémoire du secrétaire du comité de sélection</dc:title>
  <dc:subject/>
  <dc:creator>Ministère des Affaires municipales et de l'Habitation</dc:creator>
  <cp:keywords/>
  <dc:description/>
  <cp:lastModifiedBy>Rheault, Marc-André</cp:lastModifiedBy>
  <cp:revision>3</cp:revision>
  <dcterms:created xsi:type="dcterms:W3CDTF">2020-02-13T19:20:00Z</dcterms:created>
  <dcterms:modified xsi:type="dcterms:W3CDTF">2020-02-17T17:03:00Z</dcterms:modified>
</cp:coreProperties>
</file>