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B3" w:rsidRPr="00007135" w:rsidRDefault="00535EB3" w:rsidP="00535EB3">
      <w:pPr>
        <w:pStyle w:val="Titreannexe"/>
      </w:pPr>
      <w:bookmarkStart w:id="0" w:name="_Toc22285459"/>
      <w:bookmarkStart w:id="1" w:name="_Toc27661797"/>
      <w:bookmarkStart w:id="2" w:name="_GoBack"/>
      <w:r w:rsidRPr="00007135">
        <w:t>Sommaire de l’évaluation des soumissions</w:t>
      </w:r>
      <w:bookmarkEnd w:id="0"/>
      <w:bookmarkEnd w:id="1"/>
      <w:r w:rsidRPr="00007135">
        <w:t xml:space="preserve"> </w:t>
      </w:r>
    </w:p>
    <w:bookmarkEnd w:id="2"/>
    <w:p w:rsidR="00535EB3" w:rsidRPr="00F60144" w:rsidRDefault="00535EB3" w:rsidP="00535EB3">
      <w:pPr>
        <w:jc w:val="center"/>
        <w:rPr>
          <w:rFonts w:cs="Arial"/>
        </w:rPr>
      </w:pPr>
      <w:r w:rsidRPr="00F60144">
        <w:rPr>
          <w:rFonts w:cs="Arial"/>
        </w:rPr>
        <w:t>(</w:t>
      </w:r>
      <w:r>
        <w:rPr>
          <w:rFonts w:cs="Arial"/>
          <w:b/>
        </w:rPr>
        <w:t>À</w:t>
      </w:r>
      <w:r w:rsidRPr="00F60144">
        <w:rPr>
          <w:rFonts w:cs="Arial"/>
          <w:b/>
        </w:rPr>
        <w:t xml:space="preserve"> remettre au conseil</w:t>
      </w:r>
      <w:r w:rsidRPr="00F60144">
        <w:rPr>
          <w:rFonts w:cs="Arial"/>
        </w:rPr>
        <w:t>)</w:t>
      </w:r>
    </w:p>
    <w:p w:rsidR="00535EB3" w:rsidRPr="00F60144" w:rsidRDefault="00535EB3" w:rsidP="00535EB3">
      <w:pPr>
        <w:jc w:val="center"/>
        <w:rPr>
          <w:rFonts w:cs="Arial"/>
        </w:rPr>
      </w:pPr>
    </w:p>
    <w:p w:rsidR="00535EB3" w:rsidRPr="00F60144" w:rsidRDefault="00535EB3" w:rsidP="00535EB3">
      <w:pPr>
        <w:jc w:val="center"/>
        <w:rPr>
          <w:rFonts w:cs="Arial"/>
          <w:sz w:val="20"/>
          <w:szCs w:val="20"/>
        </w:rPr>
      </w:pPr>
      <w:r w:rsidRPr="00F60144">
        <w:rPr>
          <w:rFonts w:cs="Arial"/>
          <w:sz w:val="20"/>
          <w:szCs w:val="20"/>
        </w:rPr>
        <w:t xml:space="preserve">Nom et numéro de l’appel d’offres : </w:t>
      </w:r>
    </w:p>
    <w:p w:rsidR="00535EB3" w:rsidRPr="00F60144" w:rsidRDefault="00535EB3" w:rsidP="00535EB3">
      <w:pPr>
        <w:jc w:val="center"/>
        <w:rPr>
          <w:rFonts w:cs="Arial"/>
          <w:sz w:val="20"/>
          <w:szCs w:val="20"/>
        </w:rPr>
      </w:pPr>
    </w:p>
    <w:p w:rsidR="00535EB3" w:rsidRPr="00F60144" w:rsidRDefault="00535EB3" w:rsidP="00535EB3">
      <w:pPr>
        <w:spacing w:after="160" w:line="259" w:lineRule="auto"/>
        <w:rPr>
          <w:rFonts w:eastAsia="Calibri" w:cs="Arial"/>
          <w:b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  <w:lang w:eastAsia="zh-CN"/>
        </w:rPr>
        <w:t>Fournisseurs</w:t>
      </w:r>
      <w:r w:rsidRPr="00EB38EB">
        <w:rPr>
          <w:rFonts w:eastAsia="Calibri" w:cs="Arial"/>
          <w:b/>
          <w:bCs/>
          <w:sz w:val="20"/>
          <w:szCs w:val="20"/>
        </w:rPr>
        <w:t xml:space="preserve"> dont la soumission</w:t>
      </w:r>
      <w:r w:rsidRPr="00F60144">
        <w:rPr>
          <w:rFonts w:eastAsia="Calibri" w:cs="Arial"/>
          <w:b/>
          <w:sz w:val="20"/>
          <w:szCs w:val="20"/>
        </w:rPr>
        <w:t xml:space="preserve"> est acceptable (pointage supérieur à 70 %)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957"/>
        <w:gridCol w:w="2268"/>
        <w:gridCol w:w="2268"/>
      </w:tblGrid>
      <w:tr w:rsidR="00535EB3" w:rsidRPr="00F60144" w:rsidTr="00E95934">
        <w:trPr>
          <w:trHeight w:val="340"/>
        </w:trPr>
        <w:tc>
          <w:tcPr>
            <w:tcW w:w="4957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Nom</w:t>
            </w:r>
          </w:p>
        </w:tc>
        <w:tc>
          <w:tcPr>
            <w:tcW w:w="2268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Rang</w:t>
            </w:r>
          </w:p>
        </w:tc>
        <w:tc>
          <w:tcPr>
            <w:tcW w:w="2268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Prix</w:t>
            </w:r>
          </w:p>
        </w:tc>
      </w:tr>
      <w:tr w:rsidR="00535EB3" w:rsidRPr="00F60144" w:rsidTr="00E95934">
        <w:trPr>
          <w:trHeight w:val="340"/>
        </w:trPr>
        <w:tc>
          <w:tcPr>
            <w:tcW w:w="4957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rPr>
          <w:trHeight w:val="340"/>
        </w:trPr>
        <w:tc>
          <w:tcPr>
            <w:tcW w:w="4957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rPr>
          <w:trHeight w:val="340"/>
        </w:trPr>
        <w:tc>
          <w:tcPr>
            <w:tcW w:w="4957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35EB3" w:rsidRPr="00F60144" w:rsidRDefault="00535EB3" w:rsidP="00535EB3">
      <w:pPr>
        <w:spacing w:after="160" w:line="259" w:lineRule="auto"/>
        <w:rPr>
          <w:rFonts w:eastAsia="Calibri" w:cs="Arial"/>
          <w:sz w:val="20"/>
          <w:szCs w:val="20"/>
        </w:rPr>
      </w:pPr>
    </w:p>
    <w:p w:rsidR="00535EB3" w:rsidRPr="00F60144" w:rsidRDefault="00535EB3" w:rsidP="00535EB3">
      <w:pPr>
        <w:spacing w:after="160" w:line="259" w:lineRule="auto"/>
        <w:rPr>
          <w:rFonts w:eastAsia="Calibri" w:cs="Arial"/>
          <w:b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  <w:lang w:eastAsia="zh-CN"/>
        </w:rPr>
        <w:t>Fournisseurs</w:t>
      </w:r>
      <w:r w:rsidRPr="00F60144">
        <w:rPr>
          <w:rFonts w:eastAsia="Calibri" w:cs="Arial"/>
          <w:b/>
          <w:sz w:val="20"/>
          <w:szCs w:val="20"/>
        </w:rPr>
        <w:t xml:space="preserve"> dont la soumission est non acceptable (pointag</w:t>
      </w:r>
      <w:r>
        <w:rPr>
          <w:rFonts w:eastAsia="Calibri" w:cs="Arial"/>
          <w:b/>
          <w:sz w:val="20"/>
          <w:szCs w:val="20"/>
        </w:rPr>
        <w:t>e intérimaire inférieur à 70 %)</w:t>
      </w:r>
      <w:r>
        <w:rPr>
          <w:rStyle w:val="Appelnotedebasdep"/>
          <w:rFonts w:eastAsia="Calibri" w:cs="Arial"/>
          <w:b/>
          <w:sz w:val="20"/>
          <w:szCs w:val="20"/>
        </w:rPr>
        <w:footnoteReference w:id="1"/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535EB3" w:rsidRPr="00F60144" w:rsidTr="00E95934">
        <w:tc>
          <w:tcPr>
            <w:tcW w:w="9493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Nom</w:t>
            </w:r>
          </w:p>
        </w:tc>
      </w:tr>
      <w:tr w:rsidR="00535EB3" w:rsidRPr="00F60144" w:rsidTr="00E95934">
        <w:tc>
          <w:tcPr>
            <w:tcW w:w="9493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c>
          <w:tcPr>
            <w:tcW w:w="9493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c>
          <w:tcPr>
            <w:tcW w:w="9493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35EB3" w:rsidRPr="00F60144" w:rsidRDefault="00535EB3" w:rsidP="00535EB3">
      <w:pPr>
        <w:spacing w:after="160" w:line="259" w:lineRule="auto"/>
        <w:rPr>
          <w:rFonts w:eastAsia="Calibri" w:cs="Arial"/>
          <w:b/>
          <w:sz w:val="20"/>
          <w:szCs w:val="20"/>
        </w:rPr>
      </w:pPr>
    </w:p>
    <w:p w:rsidR="00535EB3" w:rsidRPr="00F60144" w:rsidRDefault="00535EB3" w:rsidP="00535EB3">
      <w:pPr>
        <w:spacing w:after="160" w:line="259" w:lineRule="auto"/>
        <w:rPr>
          <w:rFonts w:eastAsia="Calibri" w:cs="Arial"/>
          <w:b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  <w:lang w:eastAsia="zh-CN"/>
        </w:rPr>
        <w:t>Fournisseurs</w:t>
      </w:r>
      <w:r w:rsidRPr="00F60144">
        <w:rPr>
          <w:rFonts w:eastAsia="Calibri" w:cs="Arial"/>
          <w:b/>
          <w:sz w:val="20"/>
          <w:szCs w:val="20"/>
        </w:rPr>
        <w:t xml:space="preserve"> dont la soumission est non conforme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315"/>
        <w:gridCol w:w="5178"/>
      </w:tblGrid>
      <w:tr w:rsidR="00535EB3" w:rsidRPr="00F60144" w:rsidTr="00E95934">
        <w:tc>
          <w:tcPr>
            <w:tcW w:w="4315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Nom</w:t>
            </w:r>
          </w:p>
        </w:tc>
        <w:tc>
          <w:tcPr>
            <w:tcW w:w="5178" w:type="dxa"/>
            <w:shd w:val="clear" w:color="auto" w:fill="2C2F88"/>
          </w:tcPr>
          <w:p w:rsidR="00535EB3" w:rsidRPr="00F60144" w:rsidRDefault="00535EB3" w:rsidP="00E95934">
            <w:pPr>
              <w:rPr>
                <w:rFonts w:eastAsia="Calibri" w:cs="Arial"/>
                <w:b/>
                <w:sz w:val="20"/>
                <w:szCs w:val="20"/>
              </w:rPr>
            </w:pPr>
            <w:r w:rsidRPr="00F60144">
              <w:rPr>
                <w:rFonts w:eastAsia="Calibri" w:cs="Arial"/>
                <w:b/>
                <w:sz w:val="20"/>
                <w:szCs w:val="20"/>
              </w:rPr>
              <w:t>Éléments de non-conformité</w:t>
            </w:r>
          </w:p>
        </w:tc>
      </w:tr>
      <w:tr w:rsidR="00535EB3" w:rsidRPr="00F60144" w:rsidTr="00E95934">
        <w:tc>
          <w:tcPr>
            <w:tcW w:w="4315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17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c>
          <w:tcPr>
            <w:tcW w:w="4315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17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35EB3" w:rsidRPr="00F60144" w:rsidTr="00E95934">
        <w:tc>
          <w:tcPr>
            <w:tcW w:w="4315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178" w:type="dxa"/>
          </w:tcPr>
          <w:p w:rsidR="00535EB3" w:rsidRPr="00F60144" w:rsidRDefault="00535EB3" w:rsidP="00E95934">
            <w:pPr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35EB3" w:rsidRPr="00F60144" w:rsidRDefault="00535EB3" w:rsidP="00535EB3">
      <w:pPr>
        <w:spacing w:after="160" w:line="259" w:lineRule="auto"/>
        <w:rPr>
          <w:rFonts w:eastAsia="Calibri" w:cs="Arial"/>
          <w:sz w:val="20"/>
          <w:szCs w:val="20"/>
        </w:rPr>
      </w:pPr>
    </w:p>
    <w:p w:rsidR="00535EB3" w:rsidRDefault="00535EB3" w:rsidP="00535EB3">
      <w:pPr>
        <w:spacing w:after="160" w:line="259" w:lineRule="auto"/>
        <w:rPr>
          <w:rFonts w:eastAsia="Calibri" w:cs="Arial"/>
          <w:sz w:val="20"/>
          <w:szCs w:val="20"/>
          <w:highlight w:val="yellow"/>
        </w:rPr>
      </w:pPr>
      <w:r>
        <w:rPr>
          <w:rFonts w:eastAsia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9332B" wp14:editId="218CD1F0">
                <wp:simplePos x="0" y="0"/>
                <wp:positionH relativeFrom="column">
                  <wp:posOffset>935130</wp:posOffset>
                </wp:positionH>
                <wp:positionV relativeFrom="paragraph">
                  <wp:posOffset>175525</wp:posOffset>
                </wp:positionV>
                <wp:extent cx="4536000" cy="7200"/>
                <wp:effectExtent l="0" t="0" r="36195" b="3111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6000" cy="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8C2F3" id="Connecteur droit 15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65pt,13.8pt" to="430.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F60144">
        <w:rPr>
          <w:rFonts w:eastAsia="Calibri" w:cs="Arial"/>
          <w:sz w:val="20"/>
          <w:szCs w:val="20"/>
        </w:rPr>
        <w:t xml:space="preserve">Signé le : </w:t>
      </w:r>
      <w:r>
        <w:rPr>
          <w:rFonts w:eastAsia="Calibri" w:cs="Arial"/>
          <w:sz w:val="20"/>
          <w:szCs w:val="20"/>
        </w:rPr>
        <w:tab/>
      </w:r>
    </w:p>
    <w:p w:rsidR="00535EB3" w:rsidRDefault="00535EB3" w:rsidP="00535EB3">
      <w:pPr>
        <w:spacing w:after="160" w:line="259" w:lineRule="auto"/>
        <w:rPr>
          <w:rFonts w:eastAsia="Calibri" w:cs="Arial"/>
          <w:sz w:val="20"/>
          <w:szCs w:val="20"/>
        </w:rPr>
      </w:pPr>
    </w:p>
    <w:p w:rsidR="00535EB3" w:rsidRPr="00F60144" w:rsidRDefault="00535EB3" w:rsidP="00535EB3">
      <w:pPr>
        <w:spacing w:after="160" w:line="259" w:lineRule="auto"/>
        <w:rPr>
          <w:rFonts w:eastAsia="Calibri" w:cs="Arial"/>
          <w:sz w:val="20"/>
          <w:szCs w:val="20"/>
        </w:rPr>
      </w:pPr>
      <w:r>
        <w:rPr>
          <w:rFonts w:eastAsia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EAB72" wp14:editId="74E40449">
                <wp:simplePos x="0" y="0"/>
                <wp:positionH relativeFrom="column">
                  <wp:posOffset>-7631</wp:posOffset>
                </wp:positionH>
                <wp:positionV relativeFrom="paragraph">
                  <wp:posOffset>132519</wp:posOffset>
                </wp:positionV>
                <wp:extent cx="5479005" cy="0"/>
                <wp:effectExtent l="0" t="0" r="26670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90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AE7FE" id="Connecteur droit 16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6pt,10.45pt" to="430.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:rsidR="00535EB3" w:rsidRPr="00EA7AD6" w:rsidRDefault="00535EB3" w:rsidP="00535EB3">
      <w:pPr>
        <w:spacing w:after="160" w:line="259" w:lineRule="auto"/>
        <w:rPr>
          <w:rFonts w:eastAsia="Calibri" w:cs="Arial"/>
          <w:sz w:val="20"/>
          <w:szCs w:val="20"/>
        </w:rPr>
      </w:pPr>
      <w:r w:rsidRPr="00B7137B">
        <w:rPr>
          <w:rFonts w:eastAsia="Calibri" w:cs="Arial"/>
          <w:sz w:val="20"/>
          <w:szCs w:val="20"/>
        </w:rPr>
        <w:t>Secrétaire du comité de sélection</w:t>
      </w:r>
      <w:r w:rsidRPr="00F60144">
        <w:rPr>
          <w:rFonts w:cs="Arial"/>
          <w:sz w:val="20"/>
          <w:szCs w:val="20"/>
        </w:rPr>
        <w:br w:type="page"/>
      </w:r>
    </w:p>
    <w:p w:rsidR="00CD2E0E" w:rsidRDefault="002E12D1"/>
    <w:sectPr w:rsidR="00CD2E0E" w:rsidSect="00535EB3">
      <w:pgSz w:w="12240" w:h="20160" w:code="5"/>
      <w:pgMar w:top="1021" w:right="567" w:bottom="102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B3" w:rsidRDefault="00535EB3" w:rsidP="00535EB3">
      <w:pPr>
        <w:spacing w:before="0" w:after="0"/>
      </w:pPr>
      <w:r>
        <w:separator/>
      </w:r>
    </w:p>
  </w:endnote>
  <w:endnote w:type="continuationSeparator" w:id="0">
    <w:p w:rsidR="00535EB3" w:rsidRDefault="00535EB3" w:rsidP="00535E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B3" w:rsidRDefault="00535EB3" w:rsidP="00535EB3">
      <w:pPr>
        <w:spacing w:before="0" w:after="0"/>
      </w:pPr>
      <w:r>
        <w:separator/>
      </w:r>
    </w:p>
  </w:footnote>
  <w:footnote w:type="continuationSeparator" w:id="0">
    <w:p w:rsidR="00535EB3" w:rsidRDefault="00535EB3" w:rsidP="00535EB3">
      <w:pPr>
        <w:spacing w:before="0" w:after="0"/>
      </w:pPr>
      <w:r>
        <w:continuationSeparator/>
      </w:r>
    </w:p>
  </w:footnote>
  <w:footnote w:id="1">
    <w:p w:rsidR="00535EB3" w:rsidRDefault="00535EB3" w:rsidP="00535EB3">
      <w:pPr>
        <w:pStyle w:val="Notedebasdepage"/>
      </w:pPr>
      <w:r>
        <w:rPr>
          <w:rStyle w:val="Appelnotedebasdep"/>
        </w:rPr>
        <w:footnoteRef/>
      </w:r>
      <w:r>
        <w:t xml:space="preserve">      </w:t>
      </w:r>
      <w:r w:rsidRPr="00F60144">
        <w:rPr>
          <w:sz w:val="20"/>
        </w:rPr>
        <w:t>Si mode à deux étapes, sinon, retirer ces éléments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B3"/>
    <w:rsid w:val="002E12D1"/>
    <w:rsid w:val="00535EB3"/>
    <w:rsid w:val="00936C05"/>
    <w:rsid w:val="00966A45"/>
    <w:rsid w:val="00CF2918"/>
    <w:rsid w:val="00E51651"/>
    <w:rsid w:val="00E8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D5113-3CAF-4636-A470-B8E35A81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EB3"/>
    <w:pPr>
      <w:spacing w:before="120" w:after="120" w:line="240" w:lineRule="auto"/>
    </w:pPr>
    <w:rPr>
      <w:rFonts w:ascii="Arial" w:eastAsia="Times" w:hAnsi="Arial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5EB3"/>
    <w:pPr>
      <w:spacing w:before="120" w:after="120" w:line="240" w:lineRule="auto"/>
    </w:pPr>
    <w:rPr>
      <w:rFonts w:ascii="Arial Narrow" w:eastAsia="Times" w:hAnsi="Arial Narrow" w:cs="Times New Roman"/>
      <w:sz w:val="24"/>
      <w:szCs w:val="20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  <w:tcPr>
      <w:vAlign w:val="center"/>
    </w:tcPr>
  </w:style>
  <w:style w:type="paragraph" w:styleId="Notedebasdepage">
    <w:name w:val="footnote text"/>
    <w:basedOn w:val="Normal"/>
    <w:link w:val="NotedebasdepageCar"/>
    <w:qFormat/>
    <w:rsid w:val="00535EB3"/>
    <w:pPr>
      <w:spacing w:before="40" w:after="0"/>
      <w:ind w:left="284" w:hanging="284"/>
    </w:pPr>
    <w:rPr>
      <w:rFonts w:asciiTheme="minorHAnsi" w:eastAsia="Times New Roman" w:hAnsiTheme="minorHAnsi" w:cs="Arial"/>
      <w:bCs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35EB3"/>
    <w:rPr>
      <w:rFonts w:eastAsia="Times New Roman" w:cs="Arial"/>
      <w:bCs/>
      <w:sz w:val="16"/>
      <w:szCs w:val="20"/>
      <w:lang w:eastAsia="fr-CA"/>
    </w:rPr>
  </w:style>
  <w:style w:type="character" w:styleId="Appelnotedebasdep">
    <w:name w:val="footnote reference"/>
    <w:basedOn w:val="Policepardfaut"/>
    <w:semiHidden/>
    <w:rsid w:val="00535EB3"/>
    <w:rPr>
      <w:vertAlign w:val="superscript"/>
    </w:rPr>
  </w:style>
  <w:style w:type="paragraph" w:customStyle="1" w:styleId="Titreannexe">
    <w:name w:val="Titre annexe"/>
    <w:basedOn w:val="Normal"/>
    <w:qFormat/>
    <w:rsid w:val="00535EB3"/>
    <w:pPr>
      <w:keepNext/>
      <w:keepLines/>
      <w:spacing w:before="0" w:after="240"/>
      <w:jc w:val="center"/>
      <w:outlineLvl w:val="0"/>
    </w:pPr>
    <w:rPr>
      <w:rFonts w:eastAsiaTheme="majorEastAsia" w:cs="Arial"/>
      <w:bCs/>
      <w:color w:val="2C2F88"/>
      <w:sz w:val="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 l’évaluation des soumissions </vt:lpstr>
    </vt:vector>
  </TitlesOfParts>
  <Company>Gouvernement du Québec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 l’évaluation des soumissions </dc:title>
  <dc:subject/>
  <dc:creator>Ministère des Affaires municipales et de l'Habitation</dc:creator>
  <cp:keywords/>
  <dc:description/>
  <cp:lastModifiedBy>Rheault, Marc-André</cp:lastModifiedBy>
  <cp:revision>3</cp:revision>
  <dcterms:created xsi:type="dcterms:W3CDTF">2020-02-13T19:51:00Z</dcterms:created>
  <dcterms:modified xsi:type="dcterms:W3CDTF">2020-02-17T17:06:00Z</dcterms:modified>
</cp:coreProperties>
</file>