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FEB9" w14:textId="34667EEE" w:rsidR="007E381B" w:rsidRDefault="00DC0C04" w:rsidP="00A6170B">
      <w:pPr>
        <w:pStyle w:val="xelementtoproof"/>
        <w:spacing w:after="240"/>
        <w:jc w:val="center"/>
        <w:rPr>
          <w:rFonts w:ascii="Arial" w:hAnsi="Arial" w:cs="Arial"/>
          <w:b/>
          <w:bCs/>
          <w:u w:val="single"/>
        </w:rPr>
      </w:pPr>
      <w:r w:rsidRPr="007E381B">
        <w:rPr>
          <w:rFonts w:ascii="Arial" w:hAnsi="Arial" w:cs="Arial"/>
          <w:b/>
          <w:bCs/>
          <w:u w:val="single"/>
        </w:rPr>
        <w:t>Demande d’accès 25-26-236</w:t>
      </w:r>
    </w:p>
    <w:p w14:paraId="7C76CFB1" w14:textId="77777777" w:rsidR="00117829" w:rsidRPr="007E381B" w:rsidRDefault="00117829" w:rsidP="00A6170B">
      <w:pPr>
        <w:pStyle w:val="xelementtoproof"/>
        <w:spacing w:after="240"/>
        <w:jc w:val="center"/>
        <w:rPr>
          <w:rFonts w:ascii="Arial" w:hAnsi="Arial" w:cs="Arial"/>
          <w:b/>
          <w:bCs/>
          <w:u w:val="single"/>
        </w:rPr>
      </w:pPr>
    </w:p>
    <w:p w14:paraId="4BD764AD" w14:textId="1A519AB4" w:rsidR="00DC0C04" w:rsidRPr="00D00AD5" w:rsidRDefault="00DC0C04" w:rsidP="00DC0C04">
      <w:pPr>
        <w:pStyle w:val="xelementtoproof"/>
        <w:spacing w:after="240"/>
        <w:rPr>
          <w:rFonts w:ascii="Arial" w:hAnsi="Arial" w:cs="Arial"/>
        </w:rPr>
      </w:pPr>
      <w:r w:rsidRPr="00D00AD5">
        <w:rPr>
          <w:rFonts w:ascii="Arial" w:hAnsi="Arial" w:cs="Arial"/>
          <w:b/>
          <w:bCs/>
        </w:rPr>
        <w:t>1. Données et rapports annuels montrant le nombre de cas de maladie de Lyme diagnostiqués (confirmés et probables) par région et par année</w:t>
      </w:r>
      <w:r w:rsidR="009A01A0">
        <w:rPr>
          <w:rFonts w:ascii="Arial" w:hAnsi="Arial" w:cs="Arial"/>
          <w:b/>
          <w:bCs/>
        </w:rPr>
        <w:t>.</w:t>
      </w:r>
    </w:p>
    <w:p w14:paraId="213E10F3" w14:textId="08980EB2" w:rsidR="00DC0C04" w:rsidRPr="00D00AD5" w:rsidRDefault="00DC0C04" w:rsidP="00DC0C04">
      <w:pPr>
        <w:pStyle w:val="xelementtoproof"/>
        <w:spacing w:after="240"/>
        <w:jc w:val="both"/>
        <w:rPr>
          <w:rFonts w:ascii="Arial" w:hAnsi="Arial" w:cs="Arial"/>
        </w:rPr>
      </w:pPr>
      <w:r w:rsidRPr="00D00AD5">
        <w:rPr>
          <w:rFonts w:ascii="Arial" w:hAnsi="Arial" w:cs="Arial"/>
        </w:rPr>
        <w:t xml:space="preserve">Le nombre de cas de la maladie de Lyme diagnostiqués qui sont déclarés au Québec pour les années 2014 à 2024 </w:t>
      </w:r>
      <w:r w:rsidR="00F3083D">
        <w:rPr>
          <w:rFonts w:ascii="Arial" w:hAnsi="Arial" w:cs="Arial"/>
        </w:rPr>
        <w:t>es</w:t>
      </w:r>
      <w:r w:rsidRPr="00D00AD5">
        <w:rPr>
          <w:rFonts w:ascii="Arial" w:hAnsi="Arial" w:cs="Arial"/>
        </w:rPr>
        <w:t>t disponible au lien suivant :</w:t>
      </w:r>
      <w:hyperlink r:id="rId7" w:history="1">
        <w:r w:rsidRPr="00D00AD5">
          <w:rPr>
            <w:rStyle w:val="Lienhypertexte"/>
            <w:rFonts w:ascii="Arial" w:hAnsi="Arial" w:cs="Arial"/>
            <w:color w:val="auto"/>
          </w:rPr>
          <w:t xml:space="preserve"> Tableau des cas humains - Archives 2014 à 2024</w:t>
        </w:r>
      </w:hyperlink>
      <w:r w:rsidRPr="00D00AD5">
        <w:rPr>
          <w:rFonts w:ascii="Arial" w:hAnsi="Arial" w:cs="Arial"/>
        </w:rPr>
        <w:t>. Ces données correspondent au nombre de cas confirmés ou probables selon la région d’acquisition probable. Les données préliminaires pour l’année 2025</w:t>
      </w:r>
      <w:r w:rsidR="007E381B">
        <w:rPr>
          <w:rFonts w:ascii="Arial" w:hAnsi="Arial" w:cs="Arial"/>
        </w:rPr>
        <w:t xml:space="preserve"> </w:t>
      </w:r>
      <w:r w:rsidR="007E381B" w:rsidRPr="00D00AD5">
        <w:rPr>
          <w:rFonts w:ascii="Arial" w:hAnsi="Arial" w:cs="Arial"/>
        </w:rPr>
        <w:t xml:space="preserve">en cours </w:t>
      </w:r>
      <w:r w:rsidR="007E381B">
        <w:rPr>
          <w:rFonts w:ascii="Arial" w:hAnsi="Arial" w:cs="Arial"/>
        </w:rPr>
        <w:t>ainsi que d’autres renseignements</w:t>
      </w:r>
      <w:r w:rsidRPr="00D00AD5">
        <w:rPr>
          <w:rFonts w:ascii="Arial" w:hAnsi="Arial" w:cs="Arial"/>
        </w:rPr>
        <w:t xml:space="preserve"> sont également disponibles en ligne : </w:t>
      </w:r>
      <w:hyperlink r:id="rId8" w:history="1">
        <w:r w:rsidRPr="00D00AD5">
          <w:rPr>
            <w:rStyle w:val="Lienhypertexte"/>
            <w:rFonts w:ascii="Arial" w:hAnsi="Arial" w:cs="Arial"/>
            <w:color w:val="auto"/>
          </w:rPr>
          <w:t>Tableau des cas humains – Bilan 2025</w:t>
        </w:r>
      </w:hyperlink>
      <w:r w:rsidRPr="00D00AD5">
        <w:rPr>
          <w:rFonts w:ascii="Arial" w:hAnsi="Arial" w:cs="Arial"/>
        </w:rPr>
        <w:t>.</w:t>
      </w:r>
    </w:p>
    <w:p w14:paraId="7DAB2498" w14:textId="77777777" w:rsidR="000660E6" w:rsidRPr="00D00AD5" w:rsidRDefault="000660E6" w:rsidP="000660E6">
      <w:pPr>
        <w:rPr>
          <w:rFonts w:ascii="Arial" w:eastAsia="Aptos" w:hAnsi="Arial" w:cs="Arial"/>
          <w:sz w:val="24"/>
          <w:szCs w:val="24"/>
        </w:rPr>
      </w:pPr>
      <w:hyperlink r:id="rId9" w:history="1">
        <w:r w:rsidRPr="00D00AD5">
          <w:rPr>
            <w:rStyle w:val="Lienhypertexte"/>
            <w:rFonts w:ascii="Arial" w:eastAsia="Aptos" w:hAnsi="Arial" w:cs="Arial"/>
            <w:sz w:val="24"/>
            <w:szCs w:val="24"/>
          </w:rPr>
          <w:t>Surveillance de la maladie de Lyme - Maladie de Lyme - Professionnels de la santé - MSSS</w:t>
        </w:r>
      </w:hyperlink>
    </w:p>
    <w:p w14:paraId="29A7E683" w14:textId="77777777" w:rsidR="000660E6" w:rsidRPr="00D00AD5" w:rsidRDefault="000660E6" w:rsidP="000660E6">
      <w:pPr>
        <w:rPr>
          <w:rFonts w:ascii="Arial" w:eastAsia="Aptos" w:hAnsi="Arial" w:cs="Arial"/>
          <w:sz w:val="24"/>
          <w:szCs w:val="24"/>
        </w:rPr>
      </w:pPr>
      <w:hyperlink r:id="rId10" w:history="1">
        <w:r w:rsidRPr="00D00AD5">
          <w:rPr>
            <w:rStyle w:val="Lienhypertexte"/>
            <w:rFonts w:ascii="Arial" w:eastAsia="Aptos" w:hAnsi="Arial" w:cs="Arial"/>
            <w:color w:val="467886"/>
            <w:sz w:val="24"/>
            <w:szCs w:val="24"/>
          </w:rPr>
          <w:t>Résultats annuels de surveillance de la maladie de Lyme : 2022 | Institut national de santé publique du Québec</w:t>
        </w:r>
      </w:hyperlink>
      <w:r w:rsidRPr="00D00AD5">
        <w:rPr>
          <w:rFonts w:ascii="Arial" w:eastAsia="Aptos" w:hAnsi="Arial" w:cs="Arial"/>
          <w:color w:val="467886"/>
          <w:sz w:val="24"/>
          <w:szCs w:val="24"/>
          <w:u w:val="single"/>
        </w:rPr>
        <w:t xml:space="preserve"> </w:t>
      </w:r>
    </w:p>
    <w:p w14:paraId="2942FCD8" w14:textId="77777777" w:rsidR="000660E6" w:rsidRDefault="000660E6" w:rsidP="000660E6">
      <w:hyperlink r:id="rId11" w:history="1">
        <w:r w:rsidRPr="00D00AD5">
          <w:rPr>
            <w:rStyle w:val="Lienhypertexte"/>
            <w:rFonts w:ascii="Arial" w:eastAsia="Aptos" w:hAnsi="Arial" w:cs="Arial"/>
            <w:color w:val="467886"/>
            <w:sz w:val="24"/>
            <w:szCs w:val="24"/>
          </w:rPr>
          <w:t>Résultats annuels de surveillance des maladies transmises par les tiques : 2023 | Institut national de santé publique du Québec</w:t>
        </w:r>
      </w:hyperlink>
    </w:p>
    <w:p w14:paraId="6F8F415A" w14:textId="77777777" w:rsidR="00C364DB" w:rsidRPr="00D00AD5" w:rsidRDefault="00C364DB" w:rsidP="00C364DB">
      <w:pPr>
        <w:rPr>
          <w:rFonts w:ascii="Arial" w:eastAsia="Aptos" w:hAnsi="Arial" w:cs="Arial"/>
          <w:sz w:val="24"/>
          <w:szCs w:val="24"/>
        </w:rPr>
      </w:pPr>
      <w:hyperlink r:id="rId12" w:history="1">
        <w:r w:rsidRPr="00C364DB">
          <w:rPr>
            <w:rStyle w:val="Lienhypertexte"/>
            <w:rFonts w:ascii="Arial" w:eastAsia="Aptos" w:hAnsi="Arial" w:cs="Arial"/>
            <w:color w:val="467886"/>
            <w:sz w:val="24"/>
            <w:szCs w:val="24"/>
          </w:rPr>
          <w:t>Résultats annuels de surveillance des maladies transmises par les tiques : 2024 | Institut national de santé publique du Québec</w:t>
        </w:r>
      </w:hyperlink>
    </w:p>
    <w:p w14:paraId="0BD6F589" w14:textId="596A5874" w:rsidR="00673E92" w:rsidRDefault="000660E6" w:rsidP="00A97B38">
      <w:hyperlink r:id="rId13" w:history="1">
        <w:r w:rsidRPr="00D00AD5">
          <w:rPr>
            <w:rStyle w:val="Lienhypertexte"/>
            <w:rFonts w:ascii="Arial" w:eastAsia="Aptos" w:hAnsi="Arial" w:cs="Arial"/>
            <w:color w:val="467886"/>
            <w:sz w:val="24"/>
            <w:szCs w:val="24"/>
          </w:rPr>
          <w:t>Maladie de Lyme en Outaouais - Travailleurs de la santé - CISSS de l'Outaouais</w:t>
        </w:r>
      </w:hyperlink>
    </w:p>
    <w:p w14:paraId="0DB93140" w14:textId="77777777" w:rsidR="007501F0" w:rsidRDefault="007501F0" w:rsidP="00A97B38">
      <w:pPr>
        <w:rPr>
          <w:rFonts w:ascii="Arial" w:hAnsi="Arial" w:cs="Arial"/>
          <w:sz w:val="24"/>
          <w:szCs w:val="24"/>
        </w:rPr>
      </w:pPr>
    </w:p>
    <w:p w14:paraId="31FCFC72" w14:textId="47A8A54F" w:rsidR="003E6ACE" w:rsidRPr="00D00AD5" w:rsidRDefault="003E6ACE" w:rsidP="007E381B">
      <w:pPr>
        <w:pStyle w:val="xelementtoproof"/>
        <w:numPr>
          <w:ilvl w:val="0"/>
          <w:numId w:val="8"/>
        </w:numPr>
        <w:spacing w:after="240"/>
        <w:jc w:val="both"/>
        <w:rPr>
          <w:rFonts w:ascii="Arial" w:hAnsi="Arial" w:cs="Arial"/>
          <w:b/>
          <w:bCs/>
        </w:rPr>
      </w:pPr>
      <w:r w:rsidRPr="00D00AD5">
        <w:rPr>
          <w:rFonts w:ascii="Arial" w:hAnsi="Arial" w:cs="Arial"/>
          <w:b/>
          <w:bCs/>
        </w:rPr>
        <w:t>Le nombre de tests effectués pour la maladie de Lyme (y compris ELISA</w:t>
      </w:r>
      <w:r w:rsidR="00D00AD5">
        <w:rPr>
          <w:rFonts w:ascii="Arial" w:hAnsi="Arial" w:cs="Arial"/>
          <w:b/>
          <w:bCs/>
        </w:rPr>
        <w:t xml:space="preserve"> </w:t>
      </w:r>
      <w:r w:rsidRPr="00D00AD5">
        <w:rPr>
          <w:rFonts w:ascii="Arial" w:hAnsi="Arial" w:cs="Arial"/>
          <w:b/>
          <w:bCs/>
        </w:rPr>
        <w:t>et Western blot) et leurs taux de positivité</w:t>
      </w:r>
      <w:r w:rsidR="009A01A0">
        <w:rPr>
          <w:rFonts w:ascii="Arial" w:hAnsi="Arial" w:cs="Arial"/>
          <w:b/>
          <w:bCs/>
        </w:rPr>
        <w:t>.</w:t>
      </w:r>
    </w:p>
    <w:p w14:paraId="536E9A07" w14:textId="77777777" w:rsidR="000660E6" w:rsidRPr="00D00AD5" w:rsidRDefault="000660E6" w:rsidP="000660E6">
      <w:pPr>
        <w:rPr>
          <w:rFonts w:ascii="Arial" w:eastAsia="Aptos" w:hAnsi="Arial" w:cs="Arial"/>
          <w:sz w:val="24"/>
          <w:szCs w:val="24"/>
          <w:lang w:val="fr-FR"/>
        </w:rPr>
      </w:pPr>
      <w:r w:rsidRPr="00D00AD5">
        <w:rPr>
          <w:rFonts w:ascii="Arial" w:eastAsia="Aptos" w:hAnsi="Arial" w:cs="Arial"/>
          <w:sz w:val="24"/>
          <w:szCs w:val="24"/>
        </w:rPr>
        <w:t xml:space="preserve">Voici les informations disponibles pour les laboratoires :  </w:t>
      </w:r>
    </w:p>
    <w:tbl>
      <w:tblPr>
        <w:tblW w:w="10782" w:type="dxa"/>
        <w:tblInd w:w="-719" w:type="dxa"/>
        <w:tblLayout w:type="fixed"/>
        <w:tblLook w:val="04A0" w:firstRow="1" w:lastRow="0" w:firstColumn="1" w:lastColumn="0" w:noHBand="0" w:noVBand="1"/>
      </w:tblPr>
      <w:tblGrid>
        <w:gridCol w:w="1276"/>
        <w:gridCol w:w="853"/>
        <w:gridCol w:w="885"/>
        <w:gridCol w:w="984"/>
        <w:gridCol w:w="931"/>
        <w:gridCol w:w="932"/>
        <w:gridCol w:w="891"/>
        <w:gridCol w:w="1005"/>
        <w:gridCol w:w="1057"/>
        <w:gridCol w:w="1017"/>
        <w:gridCol w:w="951"/>
      </w:tblGrid>
      <w:tr w:rsidR="00D00AD5" w:rsidRPr="00D00AD5" w14:paraId="22E98211" w14:textId="77777777" w:rsidTr="007E381B">
        <w:trPr>
          <w:trHeight w:val="313"/>
        </w:trPr>
        <w:tc>
          <w:tcPr>
            <w:tcW w:w="1276" w:type="dxa"/>
            <w:tcBorders>
              <w:top w:val="single" w:sz="8" w:space="0" w:color="auto"/>
              <w:left w:val="single" w:sz="8" w:space="0" w:color="auto"/>
              <w:bottom w:val="single" w:sz="8" w:space="0" w:color="auto"/>
              <w:right w:val="single" w:sz="8" w:space="0" w:color="auto"/>
            </w:tcBorders>
            <w:hideMark/>
          </w:tcPr>
          <w:p w14:paraId="5517DEE6" w14:textId="77777777" w:rsidR="000660E6" w:rsidRPr="00D00AD5" w:rsidRDefault="000660E6">
            <w:pPr>
              <w:rPr>
                <w:rFonts w:ascii="Arial" w:eastAsia="Aptos" w:hAnsi="Arial" w:cs="Arial"/>
                <w:sz w:val="20"/>
                <w:szCs w:val="20"/>
              </w:rPr>
            </w:pPr>
            <w:r w:rsidRPr="00D00AD5">
              <w:rPr>
                <w:rFonts w:ascii="Arial" w:eastAsia="Aptos" w:hAnsi="Arial" w:cs="Arial"/>
                <w:sz w:val="20"/>
                <w:szCs w:val="20"/>
                <w:lang w:val="fr-FR"/>
              </w:rPr>
              <w:t xml:space="preserve"> </w:t>
            </w:r>
          </w:p>
        </w:tc>
        <w:tc>
          <w:tcPr>
            <w:tcW w:w="853" w:type="dxa"/>
            <w:tcBorders>
              <w:top w:val="single" w:sz="8" w:space="0" w:color="auto"/>
              <w:left w:val="single" w:sz="8" w:space="0" w:color="auto"/>
              <w:bottom w:val="single" w:sz="8" w:space="0" w:color="auto"/>
              <w:right w:val="single" w:sz="8" w:space="0" w:color="auto"/>
            </w:tcBorders>
            <w:hideMark/>
          </w:tcPr>
          <w:p w14:paraId="0FCF0E06"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2015-2016</w:t>
            </w:r>
          </w:p>
        </w:tc>
        <w:tc>
          <w:tcPr>
            <w:tcW w:w="885" w:type="dxa"/>
            <w:tcBorders>
              <w:top w:val="single" w:sz="8" w:space="0" w:color="auto"/>
              <w:left w:val="single" w:sz="8" w:space="0" w:color="auto"/>
              <w:bottom w:val="single" w:sz="8" w:space="0" w:color="auto"/>
              <w:right w:val="single" w:sz="8" w:space="0" w:color="auto"/>
            </w:tcBorders>
            <w:hideMark/>
          </w:tcPr>
          <w:p w14:paraId="1559C84F"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2016-2017</w:t>
            </w:r>
          </w:p>
        </w:tc>
        <w:tc>
          <w:tcPr>
            <w:tcW w:w="984" w:type="dxa"/>
            <w:tcBorders>
              <w:top w:val="single" w:sz="8" w:space="0" w:color="auto"/>
              <w:left w:val="single" w:sz="8" w:space="0" w:color="auto"/>
              <w:bottom w:val="single" w:sz="8" w:space="0" w:color="auto"/>
              <w:right w:val="single" w:sz="8" w:space="0" w:color="auto"/>
            </w:tcBorders>
            <w:hideMark/>
          </w:tcPr>
          <w:p w14:paraId="30664728"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2017-2018</w:t>
            </w:r>
          </w:p>
        </w:tc>
        <w:tc>
          <w:tcPr>
            <w:tcW w:w="931" w:type="dxa"/>
            <w:tcBorders>
              <w:top w:val="single" w:sz="8" w:space="0" w:color="auto"/>
              <w:left w:val="single" w:sz="8" w:space="0" w:color="auto"/>
              <w:bottom w:val="single" w:sz="8" w:space="0" w:color="auto"/>
              <w:right w:val="single" w:sz="8" w:space="0" w:color="auto"/>
            </w:tcBorders>
            <w:hideMark/>
          </w:tcPr>
          <w:p w14:paraId="5EC495CF"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2018-2019</w:t>
            </w:r>
          </w:p>
        </w:tc>
        <w:tc>
          <w:tcPr>
            <w:tcW w:w="932" w:type="dxa"/>
            <w:tcBorders>
              <w:top w:val="single" w:sz="8" w:space="0" w:color="auto"/>
              <w:left w:val="single" w:sz="8" w:space="0" w:color="auto"/>
              <w:bottom w:val="single" w:sz="8" w:space="0" w:color="auto"/>
              <w:right w:val="single" w:sz="8" w:space="0" w:color="auto"/>
            </w:tcBorders>
            <w:hideMark/>
          </w:tcPr>
          <w:p w14:paraId="36B3FC98"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2019-2020</w:t>
            </w:r>
          </w:p>
        </w:tc>
        <w:tc>
          <w:tcPr>
            <w:tcW w:w="891" w:type="dxa"/>
            <w:tcBorders>
              <w:top w:val="single" w:sz="8" w:space="0" w:color="auto"/>
              <w:left w:val="single" w:sz="8" w:space="0" w:color="auto"/>
              <w:bottom w:val="single" w:sz="8" w:space="0" w:color="auto"/>
              <w:right w:val="single" w:sz="8" w:space="0" w:color="auto"/>
            </w:tcBorders>
            <w:hideMark/>
          </w:tcPr>
          <w:p w14:paraId="31EE1741"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2020-2021</w:t>
            </w:r>
          </w:p>
        </w:tc>
        <w:tc>
          <w:tcPr>
            <w:tcW w:w="1005" w:type="dxa"/>
            <w:tcBorders>
              <w:top w:val="single" w:sz="8" w:space="0" w:color="auto"/>
              <w:left w:val="single" w:sz="8" w:space="0" w:color="auto"/>
              <w:bottom w:val="single" w:sz="8" w:space="0" w:color="auto"/>
              <w:right w:val="single" w:sz="8" w:space="0" w:color="auto"/>
            </w:tcBorders>
            <w:hideMark/>
          </w:tcPr>
          <w:p w14:paraId="15FEEFC2"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2021-2022</w:t>
            </w:r>
          </w:p>
        </w:tc>
        <w:tc>
          <w:tcPr>
            <w:tcW w:w="1057" w:type="dxa"/>
            <w:tcBorders>
              <w:top w:val="single" w:sz="8" w:space="0" w:color="auto"/>
              <w:left w:val="single" w:sz="8" w:space="0" w:color="auto"/>
              <w:bottom w:val="single" w:sz="8" w:space="0" w:color="auto"/>
              <w:right w:val="single" w:sz="8" w:space="0" w:color="auto"/>
            </w:tcBorders>
            <w:hideMark/>
          </w:tcPr>
          <w:p w14:paraId="7040A277"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2022-2023</w:t>
            </w:r>
          </w:p>
        </w:tc>
        <w:tc>
          <w:tcPr>
            <w:tcW w:w="1017" w:type="dxa"/>
            <w:tcBorders>
              <w:top w:val="single" w:sz="8" w:space="0" w:color="auto"/>
              <w:left w:val="single" w:sz="8" w:space="0" w:color="auto"/>
              <w:bottom w:val="single" w:sz="8" w:space="0" w:color="auto"/>
              <w:right w:val="single" w:sz="8" w:space="0" w:color="auto"/>
            </w:tcBorders>
            <w:hideMark/>
          </w:tcPr>
          <w:p w14:paraId="7AA5A9E3"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2023-2024</w:t>
            </w:r>
          </w:p>
        </w:tc>
        <w:tc>
          <w:tcPr>
            <w:tcW w:w="951" w:type="dxa"/>
            <w:tcBorders>
              <w:top w:val="single" w:sz="8" w:space="0" w:color="auto"/>
              <w:left w:val="single" w:sz="8" w:space="0" w:color="auto"/>
              <w:bottom w:val="single" w:sz="8" w:space="0" w:color="auto"/>
              <w:right w:val="single" w:sz="8" w:space="0" w:color="auto"/>
            </w:tcBorders>
            <w:hideMark/>
          </w:tcPr>
          <w:p w14:paraId="407350A4" w14:textId="77777777" w:rsidR="000660E6" w:rsidRPr="00D00AD5" w:rsidRDefault="000660E6">
            <w:pPr>
              <w:rPr>
                <w:rFonts w:ascii="Arial" w:eastAsia="Aptos" w:hAnsi="Arial" w:cs="Arial"/>
                <w:b/>
                <w:bCs/>
                <w:sz w:val="20"/>
                <w:szCs w:val="20"/>
              </w:rPr>
            </w:pPr>
            <w:r w:rsidRPr="00D00AD5">
              <w:rPr>
                <w:rFonts w:ascii="Arial" w:eastAsia="Aptos" w:hAnsi="Arial" w:cs="Arial"/>
                <w:b/>
                <w:bCs/>
                <w:sz w:val="20"/>
                <w:szCs w:val="20"/>
              </w:rPr>
              <w:t>2024-2025</w:t>
            </w:r>
          </w:p>
        </w:tc>
      </w:tr>
      <w:tr w:rsidR="00D00AD5" w:rsidRPr="00D00AD5" w14:paraId="21BE40B2" w14:textId="77777777" w:rsidTr="007E381B">
        <w:trPr>
          <w:trHeight w:val="313"/>
        </w:trPr>
        <w:tc>
          <w:tcPr>
            <w:tcW w:w="1276" w:type="dxa"/>
            <w:tcBorders>
              <w:top w:val="single" w:sz="8" w:space="0" w:color="auto"/>
              <w:left w:val="single" w:sz="8" w:space="0" w:color="auto"/>
              <w:bottom w:val="single" w:sz="8" w:space="0" w:color="auto"/>
              <w:right w:val="single" w:sz="8" w:space="0" w:color="auto"/>
            </w:tcBorders>
            <w:hideMark/>
          </w:tcPr>
          <w:p w14:paraId="732F7B86"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Production dans le RSSS</w:t>
            </w:r>
          </w:p>
        </w:tc>
        <w:tc>
          <w:tcPr>
            <w:tcW w:w="853" w:type="dxa"/>
            <w:tcBorders>
              <w:top w:val="single" w:sz="8" w:space="0" w:color="auto"/>
              <w:left w:val="single" w:sz="8" w:space="0" w:color="auto"/>
              <w:bottom w:val="single" w:sz="8" w:space="0" w:color="auto"/>
              <w:right w:val="single" w:sz="8" w:space="0" w:color="auto"/>
            </w:tcBorders>
            <w:hideMark/>
          </w:tcPr>
          <w:p w14:paraId="7FA2AA1A"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8 372</w:t>
            </w:r>
          </w:p>
        </w:tc>
        <w:tc>
          <w:tcPr>
            <w:tcW w:w="885" w:type="dxa"/>
            <w:tcBorders>
              <w:top w:val="single" w:sz="8" w:space="0" w:color="auto"/>
              <w:left w:val="single" w:sz="8" w:space="0" w:color="auto"/>
              <w:bottom w:val="single" w:sz="8" w:space="0" w:color="auto"/>
              <w:right w:val="single" w:sz="8" w:space="0" w:color="auto"/>
            </w:tcBorders>
            <w:hideMark/>
          </w:tcPr>
          <w:p w14:paraId="1E64B357"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9 654</w:t>
            </w:r>
          </w:p>
        </w:tc>
        <w:tc>
          <w:tcPr>
            <w:tcW w:w="984" w:type="dxa"/>
            <w:tcBorders>
              <w:top w:val="single" w:sz="8" w:space="0" w:color="auto"/>
              <w:left w:val="single" w:sz="8" w:space="0" w:color="auto"/>
              <w:bottom w:val="single" w:sz="8" w:space="0" w:color="auto"/>
              <w:right w:val="single" w:sz="8" w:space="0" w:color="auto"/>
            </w:tcBorders>
            <w:hideMark/>
          </w:tcPr>
          <w:p w14:paraId="1840C8E1"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15 287</w:t>
            </w:r>
          </w:p>
        </w:tc>
        <w:tc>
          <w:tcPr>
            <w:tcW w:w="931" w:type="dxa"/>
            <w:tcBorders>
              <w:top w:val="single" w:sz="8" w:space="0" w:color="auto"/>
              <w:left w:val="single" w:sz="8" w:space="0" w:color="auto"/>
              <w:bottom w:val="single" w:sz="8" w:space="0" w:color="auto"/>
              <w:right w:val="single" w:sz="8" w:space="0" w:color="auto"/>
            </w:tcBorders>
            <w:hideMark/>
          </w:tcPr>
          <w:p w14:paraId="08672307"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14 203</w:t>
            </w:r>
          </w:p>
        </w:tc>
        <w:tc>
          <w:tcPr>
            <w:tcW w:w="932" w:type="dxa"/>
            <w:tcBorders>
              <w:top w:val="single" w:sz="8" w:space="0" w:color="auto"/>
              <w:left w:val="single" w:sz="8" w:space="0" w:color="auto"/>
              <w:bottom w:val="single" w:sz="8" w:space="0" w:color="auto"/>
              <w:right w:val="single" w:sz="8" w:space="0" w:color="auto"/>
            </w:tcBorders>
            <w:hideMark/>
          </w:tcPr>
          <w:p w14:paraId="77B77B5D"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6 250</w:t>
            </w:r>
          </w:p>
        </w:tc>
        <w:tc>
          <w:tcPr>
            <w:tcW w:w="891" w:type="dxa"/>
            <w:tcBorders>
              <w:top w:val="single" w:sz="8" w:space="0" w:color="auto"/>
              <w:left w:val="single" w:sz="8" w:space="0" w:color="auto"/>
              <w:bottom w:val="single" w:sz="8" w:space="0" w:color="auto"/>
              <w:right w:val="single" w:sz="8" w:space="0" w:color="auto"/>
            </w:tcBorders>
            <w:hideMark/>
          </w:tcPr>
          <w:p w14:paraId="550484FD"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1005" w:type="dxa"/>
            <w:tcBorders>
              <w:top w:val="single" w:sz="8" w:space="0" w:color="auto"/>
              <w:left w:val="single" w:sz="8" w:space="0" w:color="auto"/>
              <w:bottom w:val="single" w:sz="8" w:space="0" w:color="auto"/>
              <w:right w:val="single" w:sz="8" w:space="0" w:color="auto"/>
            </w:tcBorders>
            <w:hideMark/>
          </w:tcPr>
          <w:p w14:paraId="296EAE76"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1057" w:type="dxa"/>
            <w:tcBorders>
              <w:top w:val="single" w:sz="8" w:space="0" w:color="auto"/>
              <w:left w:val="single" w:sz="8" w:space="0" w:color="auto"/>
              <w:bottom w:val="single" w:sz="8" w:space="0" w:color="auto"/>
              <w:right w:val="single" w:sz="8" w:space="0" w:color="auto"/>
            </w:tcBorders>
            <w:hideMark/>
          </w:tcPr>
          <w:p w14:paraId="1627A276"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1017" w:type="dxa"/>
            <w:tcBorders>
              <w:top w:val="single" w:sz="8" w:space="0" w:color="auto"/>
              <w:left w:val="single" w:sz="8" w:space="0" w:color="auto"/>
              <w:bottom w:val="single" w:sz="8" w:space="0" w:color="auto"/>
              <w:right w:val="single" w:sz="8" w:space="0" w:color="auto"/>
            </w:tcBorders>
            <w:hideMark/>
          </w:tcPr>
          <w:p w14:paraId="0990482F"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951" w:type="dxa"/>
            <w:tcBorders>
              <w:top w:val="single" w:sz="8" w:space="0" w:color="auto"/>
              <w:left w:val="single" w:sz="8" w:space="0" w:color="auto"/>
              <w:bottom w:val="single" w:sz="8" w:space="0" w:color="auto"/>
              <w:right w:val="single" w:sz="8" w:space="0" w:color="auto"/>
            </w:tcBorders>
            <w:hideMark/>
          </w:tcPr>
          <w:p w14:paraId="7F2DF934"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r>
      <w:tr w:rsidR="00D00AD5" w:rsidRPr="00D00AD5" w14:paraId="4667402C" w14:textId="77777777" w:rsidTr="007E381B">
        <w:trPr>
          <w:trHeight w:val="313"/>
        </w:trPr>
        <w:tc>
          <w:tcPr>
            <w:tcW w:w="1276" w:type="dxa"/>
            <w:tcBorders>
              <w:top w:val="single" w:sz="8" w:space="0" w:color="auto"/>
              <w:left w:val="single" w:sz="8" w:space="0" w:color="auto"/>
              <w:bottom w:val="single" w:sz="8" w:space="0" w:color="auto"/>
              <w:right w:val="single" w:sz="8" w:space="0" w:color="auto"/>
            </w:tcBorders>
            <w:hideMark/>
          </w:tcPr>
          <w:p w14:paraId="1AC4A96F" w14:textId="1A3A4F4C" w:rsidR="000660E6" w:rsidRPr="00D00AD5" w:rsidRDefault="000660E6">
            <w:pPr>
              <w:rPr>
                <w:rFonts w:ascii="Arial" w:eastAsia="Aptos" w:hAnsi="Arial" w:cs="Arial"/>
                <w:sz w:val="20"/>
                <w:szCs w:val="20"/>
              </w:rPr>
            </w:pPr>
            <w:r w:rsidRPr="00D00AD5">
              <w:rPr>
                <w:rFonts w:ascii="Arial" w:eastAsia="Aptos" w:hAnsi="Arial" w:cs="Arial"/>
                <w:sz w:val="20"/>
                <w:szCs w:val="20"/>
              </w:rPr>
              <w:t>Production au</w:t>
            </w:r>
            <w:r w:rsidR="006D57EC">
              <w:rPr>
                <w:rFonts w:ascii="Arial" w:eastAsia="Aptos" w:hAnsi="Arial" w:cs="Arial"/>
                <w:sz w:val="20"/>
                <w:szCs w:val="20"/>
              </w:rPr>
              <w:t xml:space="preserve"> Laboratoire de santé publique du Québec (LSPQ)</w:t>
            </w:r>
          </w:p>
        </w:tc>
        <w:tc>
          <w:tcPr>
            <w:tcW w:w="853" w:type="dxa"/>
            <w:tcBorders>
              <w:top w:val="single" w:sz="8" w:space="0" w:color="auto"/>
              <w:left w:val="single" w:sz="8" w:space="0" w:color="auto"/>
              <w:bottom w:val="single" w:sz="8" w:space="0" w:color="auto"/>
              <w:right w:val="single" w:sz="8" w:space="0" w:color="auto"/>
            </w:tcBorders>
            <w:hideMark/>
          </w:tcPr>
          <w:p w14:paraId="05A4C6B8"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885" w:type="dxa"/>
            <w:tcBorders>
              <w:top w:val="single" w:sz="8" w:space="0" w:color="auto"/>
              <w:left w:val="single" w:sz="8" w:space="0" w:color="auto"/>
              <w:bottom w:val="single" w:sz="8" w:space="0" w:color="auto"/>
              <w:right w:val="single" w:sz="8" w:space="0" w:color="auto"/>
            </w:tcBorders>
            <w:hideMark/>
          </w:tcPr>
          <w:p w14:paraId="1D682796"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984" w:type="dxa"/>
            <w:tcBorders>
              <w:top w:val="single" w:sz="8" w:space="0" w:color="auto"/>
              <w:left w:val="single" w:sz="8" w:space="0" w:color="auto"/>
              <w:bottom w:val="single" w:sz="8" w:space="0" w:color="auto"/>
              <w:right w:val="single" w:sz="8" w:space="0" w:color="auto"/>
            </w:tcBorders>
            <w:hideMark/>
          </w:tcPr>
          <w:p w14:paraId="3FC35572"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931" w:type="dxa"/>
            <w:tcBorders>
              <w:top w:val="single" w:sz="8" w:space="0" w:color="auto"/>
              <w:left w:val="single" w:sz="8" w:space="0" w:color="auto"/>
              <w:bottom w:val="single" w:sz="8" w:space="0" w:color="auto"/>
              <w:right w:val="single" w:sz="8" w:space="0" w:color="auto"/>
            </w:tcBorders>
            <w:hideMark/>
          </w:tcPr>
          <w:p w14:paraId="43B1D9D8"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 xml:space="preserve"> </w:t>
            </w:r>
          </w:p>
        </w:tc>
        <w:tc>
          <w:tcPr>
            <w:tcW w:w="932" w:type="dxa"/>
            <w:tcBorders>
              <w:top w:val="single" w:sz="8" w:space="0" w:color="auto"/>
              <w:left w:val="single" w:sz="8" w:space="0" w:color="auto"/>
              <w:bottom w:val="single" w:sz="8" w:space="0" w:color="auto"/>
              <w:right w:val="single" w:sz="8" w:space="0" w:color="auto"/>
            </w:tcBorders>
            <w:hideMark/>
          </w:tcPr>
          <w:p w14:paraId="18FF0EBC"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5 964</w:t>
            </w:r>
          </w:p>
        </w:tc>
        <w:tc>
          <w:tcPr>
            <w:tcW w:w="891" w:type="dxa"/>
            <w:tcBorders>
              <w:top w:val="single" w:sz="8" w:space="0" w:color="auto"/>
              <w:left w:val="single" w:sz="8" w:space="0" w:color="auto"/>
              <w:bottom w:val="single" w:sz="8" w:space="0" w:color="auto"/>
              <w:right w:val="single" w:sz="8" w:space="0" w:color="auto"/>
            </w:tcBorders>
            <w:hideMark/>
          </w:tcPr>
          <w:p w14:paraId="0BE4FEEB"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7 750</w:t>
            </w:r>
          </w:p>
        </w:tc>
        <w:tc>
          <w:tcPr>
            <w:tcW w:w="1005" w:type="dxa"/>
            <w:tcBorders>
              <w:top w:val="single" w:sz="8" w:space="0" w:color="auto"/>
              <w:left w:val="single" w:sz="8" w:space="0" w:color="auto"/>
              <w:bottom w:val="single" w:sz="8" w:space="0" w:color="auto"/>
              <w:right w:val="single" w:sz="8" w:space="0" w:color="auto"/>
            </w:tcBorders>
            <w:hideMark/>
          </w:tcPr>
          <w:p w14:paraId="6B142ED2"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10 044</w:t>
            </w:r>
          </w:p>
        </w:tc>
        <w:tc>
          <w:tcPr>
            <w:tcW w:w="1057" w:type="dxa"/>
            <w:tcBorders>
              <w:top w:val="single" w:sz="8" w:space="0" w:color="auto"/>
              <w:left w:val="single" w:sz="8" w:space="0" w:color="auto"/>
              <w:bottom w:val="single" w:sz="8" w:space="0" w:color="auto"/>
              <w:right w:val="single" w:sz="8" w:space="0" w:color="auto"/>
            </w:tcBorders>
            <w:hideMark/>
          </w:tcPr>
          <w:p w14:paraId="00552A00"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10 958</w:t>
            </w:r>
          </w:p>
        </w:tc>
        <w:tc>
          <w:tcPr>
            <w:tcW w:w="1017" w:type="dxa"/>
            <w:tcBorders>
              <w:top w:val="single" w:sz="8" w:space="0" w:color="auto"/>
              <w:left w:val="single" w:sz="8" w:space="0" w:color="auto"/>
              <w:bottom w:val="single" w:sz="8" w:space="0" w:color="auto"/>
              <w:right w:val="single" w:sz="8" w:space="0" w:color="auto"/>
            </w:tcBorders>
            <w:hideMark/>
          </w:tcPr>
          <w:p w14:paraId="5E38F147"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12 160</w:t>
            </w:r>
          </w:p>
        </w:tc>
        <w:tc>
          <w:tcPr>
            <w:tcW w:w="951" w:type="dxa"/>
            <w:tcBorders>
              <w:top w:val="single" w:sz="8" w:space="0" w:color="auto"/>
              <w:left w:val="single" w:sz="8" w:space="0" w:color="auto"/>
              <w:bottom w:val="single" w:sz="8" w:space="0" w:color="auto"/>
              <w:right w:val="single" w:sz="8" w:space="0" w:color="auto"/>
            </w:tcBorders>
            <w:hideMark/>
          </w:tcPr>
          <w:p w14:paraId="498D223C" w14:textId="77777777" w:rsidR="000660E6" w:rsidRPr="00D00AD5" w:rsidRDefault="000660E6">
            <w:pPr>
              <w:rPr>
                <w:rFonts w:ascii="Arial" w:eastAsia="Aptos" w:hAnsi="Arial" w:cs="Arial"/>
                <w:sz w:val="20"/>
                <w:szCs w:val="20"/>
              </w:rPr>
            </w:pPr>
            <w:r w:rsidRPr="00D00AD5">
              <w:rPr>
                <w:rFonts w:ascii="Arial" w:eastAsia="Aptos" w:hAnsi="Arial" w:cs="Arial"/>
                <w:sz w:val="20"/>
                <w:szCs w:val="20"/>
              </w:rPr>
              <w:t>13 022</w:t>
            </w:r>
          </w:p>
        </w:tc>
      </w:tr>
    </w:tbl>
    <w:p w14:paraId="0215B2CD" w14:textId="77777777" w:rsidR="000660E6" w:rsidRPr="00D00AD5" w:rsidRDefault="000660E6" w:rsidP="000660E6">
      <w:pPr>
        <w:rPr>
          <w:rFonts w:ascii="Arial" w:eastAsia="Aptos" w:hAnsi="Arial" w:cs="Arial"/>
          <w:sz w:val="24"/>
          <w:szCs w:val="24"/>
        </w:rPr>
      </w:pPr>
      <w:r w:rsidRPr="00D00AD5">
        <w:rPr>
          <w:rFonts w:ascii="Arial" w:eastAsia="Aptos" w:hAnsi="Arial" w:cs="Arial"/>
          <w:sz w:val="24"/>
          <w:szCs w:val="24"/>
        </w:rPr>
        <w:t xml:space="preserve"> </w:t>
      </w:r>
    </w:p>
    <w:p w14:paraId="15791BA5" w14:textId="77777777" w:rsidR="000660E6" w:rsidRPr="00D00AD5" w:rsidRDefault="000660E6" w:rsidP="000660E6">
      <w:pPr>
        <w:numPr>
          <w:ilvl w:val="0"/>
          <w:numId w:val="3"/>
        </w:numPr>
        <w:spacing w:line="256" w:lineRule="auto"/>
        <w:ind w:left="0" w:firstLine="0"/>
        <w:rPr>
          <w:rFonts w:ascii="Arial" w:eastAsia="Aptos" w:hAnsi="Arial" w:cs="Arial"/>
          <w:b/>
          <w:bCs/>
          <w:sz w:val="24"/>
          <w:szCs w:val="24"/>
        </w:rPr>
      </w:pPr>
      <w:r w:rsidRPr="00D00AD5">
        <w:rPr>
          <w:rFonts w:ascii="Arial" w:eastAsia="Aptos" w:hAnsi="Arial" w:cs="Arial"/>
          <w:sz w:val="24"/>
          <w:szCs w:val="24"/>
        </w:rPr>
        <w:lastRenderedPageBreak/>
        <w:t xml:space="preserve">Le taux de positivité de l’analyse rapporté par le LSPQ = </w:t>
      </w:r>
      <w:r w:rsidRPr="00D00AD5">
        <w:rPr>
          <w:rFonts w:ascii="Arial" w:eastAsia="Aptos" w:hAnsi="Arial" w:cs="Arial"/>
          <w:b/>
          <w:bCs/>
          <w:sz w:val="24"/>
          <w:szCs w:val="24"/>
        </w:rPr>
        <w:t>5.0%</w:t>
      </w:r>
    </w:p>
    <w:p w14:paraId="0BAC013F" w14:textId="1C5EE576" w:rsidR="007501F0" w:rsidRPr="006D57EC" w:rsidRDefault="000660E6" w:rsidP="007501F0">
      <w:pPr>
        <w:numPr>
          <w:ilvl w:val="0"/>
          <w:numId w:val="3"/>
        </w:numPr>
        <w:spacing w:line="256" w:lineRule="auto"/>
        <w:ind w:left="0" w:firstLine="0"/>
        <w:rPr>
          <w:rFonts w:ascii="Arial" w:eastAsia="Aptos" w:hAnsi="Arial" w:cs="Arial"/>
          <w:sz w:val="24"/>
          <w:szCs w:val="24"/>
        </w:rPr>
      </w:pPr>
      <w:r w:rsidRPr="00D00AD5">
        <w:rPr>
          <w:rFonts w:ascii="Arial" w:eastAsia="Aptos" w:hAnsi="Arial" w:cs="Arial"/>
          <w:sz w:val="24"/>
          <w:szCs w:val="24"/>
        </w:rPr>
        <w:t>Le taux de positivé pour les analyses réalisées dans le réseau n’est pas une information dont nous disposons.</w:t>
      </w:r>
    </w:p>
    <w:p w14:paraId="70BF370A" w14:textId="2A678A0E" w:rsidR="003E6ACE" w:rsidRPr="00D00AD5" w:rsidRDefault="003E6ACE" w:rsidP="007E381B">
      <w:pPr>
        <w:pStyle w:val="xelementtoproof"/>
        <w:numPr>
          <w:ilvl w:val="0"/>
          <w:numId w:val="8"/>
        </w:numPr>
        <w:spacing w:after="240"/>
        <w:jc w:val="both"/>
        <w:rPr>
          <w:rFonts w:ascii="Arial" w:hAnsi="Arial" w:cs="Arial"/>
        </w:rPr>
      </w:pPr>
      <w:r w:rsidRPr="00D00AD5">
        <w:rPr>
          <w:rFonts w:ascii="Arial" w:hAnsi="Arial" w:cs="Arial"/>
          <w:b/>
          <w:bCs/>
        </w:rPr>
        <w:t>Délai moyen entre l'apparition des symptômes, le test et le diagnostic.</w:t>
      </w:r>
    </w:p>
    <w:p w14:paraId="72AF79C9" w14:textId="77777777" w:rsidR="003E6ACE" w:rsidRPr="00D00AD5" w:rsidRDefault="003E6ACE" w:rsidP="00DC0C04">
      <w:pPr>
        <w:pStyle w:val="xelementtoproof"/>
        <w:jc w:val="both"/>
        <w:rPr>
          <w:rFonts w:ascii="Arial" w:hAnsi="Arial" w:cs="Arial"/>
        </w:rPr>
      </w:pPr>
      <w:r w:rsidRPr="00D00AD5">
        <w:rPr>
          <w:rFonts w:ascii="Arial" w:hAnsi="Arial" w:cs="Arial"/>
        </w:rPr>
        <w:t xml:space="preserve">La maladie de Lyme évolue en trois stades : localisé/précoce, disséminé précoce et disséminé tardif. Bien qu’il soit difficile de donner un délai moyen précis, du fait que les premiers stades de la maladie peuvent être asymptomatiques et que les symptômes initiaux peuvent être mal interprétés, l’INSPQ a procédé à cette analyse pour la période de 2006 à 2019. D’ailleurs, le délai médian entre le début des symptômes et la date de déclaration d’un cas a connu une amélioration au fil du temps, passant de 49 jours en 2006-2012* à 25 jours en 2019. Les résultats ont été diffusés dans le </w:t>
      </w:r>
      <w:hyperlink r:id="rId14" w:history="1">
        <w:r w:rsidRPr="00D00AD5">
          <w:rPr>
            <w:rStyle w:val="Lienhypertexte"/>
            <w:rFonts w:ascii="Arial" w:hAnsi="Arial" w:cs="Arial"/>
          </w:rPr>
          <w:t>Portrait de la maladie de Lyme au Québec : 2006-2019</w:t>
        </w:r>
      </w:hyperlink>
      <w:r w:rsidRPr="00D00AD5">
        <w:rPr>
          <w:rFonts w:ascii="Arial" w:hAnsi="Arial" w:cs="Arial"/>
        </w:rPr>
        <w:t>.</w:t>
      </w:r>
    </w:p>
    <w:p w14:paraId="50DFF74C" w14:textId="77777777" w:rsidR="003E6ACE" w:rsidRDefault="003E6ACE" w:rsidP="00DC0C04">
      <w:pPr>
        <w:pStyle w:val="xelementtoproof"/>
        <w:jc w:val="both"/>
        <w:rPr>
          <w:rFonts w:ascii="Arial" w:hAnsi="Arial" w:cs="Arial"/>
          <w:i/>
          <w:iCs/>
        </w:rPr>
      </w:pPr>
      <w:r w:rsidRPr="00D00AD5">
        <w:rPr>
          <w:rFonts w:ascii="Arial" w:hAnsi="Arial" w:cs="Arial"/>
          <w:i/>
          <w:iCs/>
        </w:rPr>
        <w:t>*Années regroupées à cause du faible nombre de cas.</w:t>
      </w:r>
    </w:p>
    <w:p w14:paraId="75E04942" w14:textId="77777777" w:rsidR="007E381B" w:rsidRPr="00D00AD5" w:rsidRDefault="007E381B" w:rsidP="00DC0C04">
      <w:pPr>
        <w:pStyle w:val="xelementtoproof"/>
        <w:jc w:val="both"/>
        <w:rPr>
          <w:rFonts w:ascii="Arial" w:hAnsi="Arial" w:cs="Arial"/>
        </w:rPr>
      </w:pPr>
    </w:p>
    <w:p w14:paraId="3B1F1260" w14:textId="5CACE435" w:rsidR="003E6ACE" w:rsidRDefault="003E6ACE" w:rsidP="00DC0C04">
      <w:pPr>
        <w:pStyle w:val="xelementtoproof"/>
        <w:jc w:val="both"/>
        <w:rPr>
          <w:rFonts w:ascii="Arial" w:hAnsi="Arial" w:cs="Arial"/>
        </w:rPr>
      </w:pPr>
      <w:r w:rsidRPr="00D00AD5">
        <w:rPr>
          <w:rFonts w:ascii="Arial" w:hAnsi="Arial" w:cs="Arial"/>
        </w:rPr>
        <w:t xml:space="preserve">Pour plus de détails sur l'évolution des symptômes après une piqûre de tique ou un diagnostic de maladie de Lyme ou sur la démarche diagnostique, </w:t>
      </w:r>
      <w:r w:rsidR="006D57EC">
        <w:rPr>
          <w:rFonts w:ascii="Arial" w:hAnsi="Arial" w:cs="Arial"/>
        </w:rPr>
        <w:t xml:space="preserve">il faut </w:t>
      </w:r>
      <w:r w:rsidRPr="00D00AD5">
        <w:rPr>
          <w:rFonts w:ascii="Arial" w:hAnsi="Arial" w:cs="Arial"/>
        </w:rPr>
        <w:t>se référer aux outils cliniques développés par l’Institut national d'excellence en santé et services sociaux (INESSS) :</w:t>
      </w:r>
    </w:p>
    <w:p w14:paraId="1F78D348" w14:textId="77777777" w:rsidR="007501F0" w:rsidRPr="00D00AD5" w:rsidRDefault="007501F0" w:rsidP="00DC0C04">
      <w:pPr>
        <w:pStyle w:val="xelementtoproof"/>
        <w:jc w:val="both"/>
        <w:rPr>
          <w:rFonts w:ascii="Arial" w:hAnsi="Arial" w:cs="Arial"/>
        </w:rPr>
      </w:pPr>
    </w:p>
    <w:p w14:paraId="69F9B523" w14:textId="77777777" w:rsidR="000660E6" w:rsidRPr="00D00AD5" w:rsidRDefault="003E6ACE" w:rsidP="000660E6">
      <w:pPr>
        <w:ind w:firstLine="567"/>
        <w:rPr>
          <w:rFonts w:ascii="Arial" w:hAnsi="Arial" w:cs="Arial"/>
          <w:sz w:val="24"/>
          <w:szCs w:val="24"/>
        </w:rPr>
      </w:pPr>
      <w:hyperlink r:id="rId15" w:history="1">
        <w:r w:rsidRPr="00D00AD5">
          <w:rPr>
            <w:rStyle w:val="Lienhypertexte"/>
            <w:rFonts w:ascii="Arial" w:hAnsi="Arial" w:cs="Arial"/>
            <w:sz w:val="24"/>
            <w:szCs w:val="24"/>
          </w:rPr>
          <w:t>Diagnostic et traitement de la maladie de Lyme</w:t>
        </w:r>
      </w:hyperlink>
    </w:p>
    <w:p w14:paraId="3D7592B8" w14:textId="7F1401D2" w:rsidR="000660E6" w:rsidRPr="00D00AD5" w:rsidRDefault="000660E6" w:rsidP="000660E6">
      <w:pPr>
        <w:ind w:firstLine="567"/>
        <w:rPr>
          <w:rFonts w:ascii="Arial" w:hAnsi="Arial" w:cs="Arial"/>
          <w:sz w:val="24"/>
          <w:szCs w:val="24"/>
        </w:rPr>
      </w:pPr>
      <w:hyperlink r:id="rId16" w:history="1">
        <w:r w:rsidRPr="00D00AD5">
          <w:rPr>
            <w:rStyle w:val="Lienhypertexte"/>
            <w:rFonts w:ascii="Arial" w:eastAsia="Aptos" w:hAnsi="Arial" w:cs="Arial"/>
            <w:color w:val="467886"/>
            <w:sz w:val="24"/>
            <w:szCs w:val="24"/>
          </w:rPr>
          <w:t xml:space="preserve">Diagnostic - Maladie de Lyme - </w:t>
        </w:r>
        <w:r w:rsidR="00F3083D">
          <w:rPr>
            <w:rStyle w:val="Lienhypertexte"/>
            <w:rFonts w:ascii="Arial" w:eastAsia="Aptos" w:hAnsi="Arial" w:cs="Arial"/>
            <w:color w:val="467886"/>
            <w:sz w:val="24"/>
            <w:szCs w:val="24"/>
          </w:rPr>
          <w:t>Professionnels</w:t>
        </w:r>
        <w:r w:rsidRPr="00D00AD5">
          <w:rPr>
            <w:rStyle w:val="Lienhypertexte"/>
            <w:rFonts w:ascii="Arial" w:eastAsia="Aptos" w:hAnsi="Arial" w:cs="Arial"/>
            <w:color w:val="467886"/>
            <w:sz w:val="24"/>
            <w:szCs w:val="24"/>
          </w:rPr>
          <w:t xml:space="preserve"> de la santé - MSSS</w:t>
        </w:r>
      </w:hyperlink>
    </w:p>
    <w:p w14:paraId="2518B9C5" w14:textId="3FAC8F99" w:rsidR="00D17F0C" w:rsidRDefault="003E6ACE" w:rsidP="002740D3">
      <w:pPr>
        <w:ind w:firstLine="567"/>
        <w:rPr>
          <w:rFonts w:ascii="Arial" w:hAnsi="Arial" w:cs="Arial"/>
          <w:sz w:val="24"/>
          <w:szCs w:val="24"/>
        </w:rPr>
      </w:pPr>
      <w:hyperlink r:id="rId17" w:history="1">
        <w:r w:rsidRPr="00D00AD5">
          <w:rPr>
            <w:rStyle w:val="Lienhypertexte"/>
            <w:rFonts w:ascii="Arial" w:hAnsi="Arial" w:cs="Arial"/>
            <w:sz w:val="24"/>
            <w:szCs w:val="24"/>
          </w:rPr>
          <w:t>Outil diagnostic - Maladie de Lyme aux stades localisé et disséminés</w:t>
        </w:r>
      </w:hyperlink>
    </w:p>
    <w:p w14:paraId="047D3D02" w14:textId="31408B1A" w:rsidR="00D17F0C" w:rsidRPr="00D17F0C" w:rsidRDefault="00D17F0C" w:rsidP="007E381B">
      <w:pPr>
        <w:jc w:val="both"/>
        <w:rPr>
          <w:rFonts w:ascii="Arial" w:eastAsia="Aptos" w:hAnsi="Arial" w:cs="Arial"/>
          <w:b/>
          <w:bCs/>
          <w:sz w:val="24"/>
          <w:szCs w:val="24"/>
        </w:rPr>
      </w:pPr>
      <w:r w:rsidRPr="00D17F0C">
        <w:rPr>
          <w:rFonts w:ascii="Arial" w:hAnsi="Arial" w:cs="Arial"/>
          <w:b/>
          <w:bCs/>
          <w:sz w:val="24"/>
          <w:szCs w:val="24"/>
        </w:rPr>
        <w:t>2. Tous les rapports internes, notes d’informations ou analyses qui abordent :</w:t>
      </w:r>
    </w:p>
    <w:p w14:paraId="55B90A94" w14:textId="09BCEC62" w:rsidR="000660E6" w:rsidRPr="007E381B" w:rsidRDefault="000660E6" w:rsidP="007E381B">
      <w:pPr>
        <w:pStyle w:val="xelementtoproof"/>
        <w:numPr>
          <w:ilvl w:val="0"/>
          <w:numId w:val="6"/>
        </w:numPr>
        <w:spacing w:after="240"/>
        <w:jc w:val="both"/>
        <w:rPr>
          <w:rFonts w:ascii="Arial" w:hAnsi="Arial" w:cs="Arial"/>
          <w:shd w:val="clear" w:color="auto" w:fill="00FF00"/>
        </w:rPr>
      </w:pPr>
      <w:r w:rsidRPr="00D00AD5">
        <w:rPr>
          <w:rFonts w:ascii="Arial" w:hAnsi="Arial" w:cs="Arial"/>
          <w:b/>
          <w:bCs/>
        </w:rPr>
        <w:t>Retards de diagnostic, sous-diagnostic ou diagnostic erroné de la maladie de Lyme</w:t>
      </w:r>
      <w:r w:rsidR="00A97B38">
        <w:rPr>
          <w:rFonts w:ascii="Arial" w:hAnsi="Arial" w:cs="Arial"/>
          <w:b/>
          <w:bCs/>
        </w:rPr>
        <w:t>.</w:t>
      </w:r>
    </w:p>
    <w:p w14:paraId="37AFEBB2" w14:textId="62D06289" w:rsidR="007E381B" w:rsidRDefault="007E381B" w:rsidP="007E381B">
      <w:pPr>
        <w:rPr>
          <w:rFonts w:ascii="Arial" w:hAnsi="Arial" w:cs="Arial"/>
          <w:sz w:val="24"/>
          <w:szCs w:val="24"/>
        </w:rPr>
      </w:pPr>
      <w:r>
        <w:rPr>
          <w:rFonts w:ascii="Arial" w:hAnsi="Arial" w:cs="Arial"/>
          <w:sz w:val="24"/>
          <w:szCs w:val="24"/>
        </w:rPr>
        <w:t xml:space="preserve">Nous n’avons pas de données pour ce point de la demande. </w:t>
      </w:r>
    </w:p>
    <w:p w14:paraId="3C0EB1E2" w14:textId="39A8CEFA" w:rsidR="000660E6" w:rsidRPr="007E381B" w:rsidRDefault="007E381B" w:rsidP="007E381B">
      <w:pPr>
        <w:pStyle w:val="Paragraphedeliste"/>
        <w:numPr>
          <w:ilvl w:val="0"/>
          <w:numId w:val="6"/>
        </w:numPr>
        <w:rPr>
          <w:rFonts w:ascii="Arial" w:hAnsi="Arial" w:cs="Arial"/>
          <w:sz w:val="24"/>
          <w:szCs w:val="24"/>
        </w:rPr>
      </w:pPr>
      <w:r w:rsidRPr="007E381B">
        <w:rPr>
          <w:rFonts w:ascii="Arial" w:hAnsi="Arial" w:cs="Arial"/>
          <w:b/>
          <w:bCs/>
          <w:sz w:val="24"/>
          <w:szCs w:val="24"/>
        </w:rPr>
        <w:t>L</w:t>
      </w:r>
      <w:r w:rsidR="000660E6" w:rsidRPr="007E381B">
        <w:rPr>
          <w:rFonts w:ascii="Arial" w:hAnsi="Arial" w:cs="Arial"/>
          <w:b/>
          <w:bCs/>
          <w:sz w:val="24"/>
          <w:szCs w:val="24"/>
        </w:rPr>
        <w:t>'accès au dépistage et au traitement (y compris les temps d'attente pour les spécialistes, les disparités géographiques et les limites de capacité)</w:t>
      </w:r>
      <w:r w:rsidR="00A97B38">
        <w:rPr>
          <w:rFonts w:ascii="Arial" w:hAnsi="Arial" w:cs="Arial"/>
          <w:b/>
          <w:bCs/>
          <w:sz w:val="24"/>
          <w:szCs w:val="24"/>
        </w:rPr>
        <w:t>.</w:t>
      </w:r>
    </w:p>
    <w:p w14:paraId="4AD8C416" w14:textId="767A6397" w:rsidR="007E381B" w:rsidRPr="007E381B" w:rsidRDefault="007E381B" w:rsidP="007E381B">
      <w:pPr>
        <w:rPr>
          <w:rFonts w:ascii="Arial" w:hAnsi="Arial" w:cs="Arial"/>
          <w:sz w:val="24"/>
          <w:szCs w:val="24"/>
        </w:rPr>
      </w:pPr>
      <w:r w:rsidRPr="007E381B">
        <w:rPr>
          <w:rFonts w:ascii="Arial" w:hAnsi="Arial" w:cs="Arial"/>
          <w:sz w:val="24"/>
          <w:szCs w:val="24"/>
        </w:rPr>
        <w:t xml:space="preserve">Nous n’avons pas de données pour ce point de la demande. </w:t>
      </w:r>
    </w:p>
    <w:p w14:paraId="5179102C" w14:textId="4FE216FD" w:rsidR="000660E6" w:rsidRPr="007E381B" w:rsidRDefault="000660E6" w:rsidP="007E381B">
      <w:pPr>
        <w:pStyle w:val="Paragraphedeliste"/>
        <w:numPr>
          <w:ilvl w:val="0"/>
          <w:numId w:val="6"/>
        </w:numPr>
        <w:rPr>
          <w:rFonts w:ascii="Arial" w:hAnsi="Arial" w:cs="Arial"/>
          <w:b/>
          <w:bCs/>
          <w:sz w:val="24"/>
          <w:szCs w:val="24"/>
        </w:rPr>
      </w:pPr>
      <w:r w:rsidRPr="007E381B">
        <w:rPr>
          <w:rFonts w:ascii="Arial" w:hAnsi="Arial" w:cs="Arial"/>
          <w:b/>
          <w:bCs/>
          <w:sz w:val="24"/>
          <w:szCs w:val="24"/>
        </w:rPr>
        <w:t>Recommandations pour améliorer les soins ou la collecte de données pour les personnes atteintes de la maladie de Lyme.</w:t>
      </w:r>
    </w:p>
    <w:p w14:paraId="2C6E5622" w14:textId="77777777" w:rsidR="000660E6" w:rsidRPr="00D00AD5" w:rsidRDefault="000660E6" w:rsidP="000660E6">
      <w:pPr>
        <w:rPr>
          <w:rFonts w:ascii="Arial" w:hAnsi="Arial" w:cs="Arial"/>
          <w:sz w:val="24"/>
          <w:szCs w:val="24"/>
        </w:rPr>
      </w:pPr>
      <w:r w:rsidRPr="00D00AD5">
        <w:rPr>
          <w:rFonts w:ascii="Arial" w:hAnsi="Arial" w:cs="Arial"/>
          <w:sz w:val="24"/>
          <w:szCs w:val="24"/>
        </w:rPr>
        <w:t>L’INESSS a publié divers rapports avec recommandations ainsi que des outils de transfert de connaissance disponibles à l’adresse suivante :</w:t>
      </w:r>
    </w:p>
    <w:p w14:paraId="0869C50A" w14:textId="6FBBB02D" w:rsidR="007E381B" w:rsidRPr="006D57EC" w:rsidRDefault="000660E6" w:rsidP="006D57EC">
      <w:pPr>
        <w:rPr>
          <w:rFonts w:ascii="Arial" w:eastAsia="Calibri" w:hAnsi="Arial" w:cs="Arial"/>
          <w:sz w:val="24"/>
          <w:szCs w:val="24"/>
        </w:rPr>
      </w:pPr>
      <w:hyperlink r:id="rId18" w:history="1">
        <w:r w:rsidRPr="00D00AD5">
          <w:rPr>
            <w:rStyle w:val="Lienhypertexte"/>
            <w:rFonts w:ascii="Arial" w:eastAsia="Aptos" w:hAnsi="Arial" w:cs="Arial"/>
            <w:sz w:val="24"/>
            <w:szCs w:val="24"/>
          </w:rPr>
          <w:t>https://www.inesss.qc.ca/publications/repertoire-des-publications/publication/maladie-de-lyme.html</w:t>
        </w:r>
      </w:hyperlink>
    </w:p>
    <w:p w14:paraId="6B9BA100" w14:textId="18F65822" w:rsidR="007E381B" w:rsidRDefault="003E6ACE" w:rsidP="007E381B">
      <w:pPr>
        <w:pStyle w:val="xelementtoproof"/>
        <w:spacing w:after="240"/>
        <w:jc w:val="both"/>
        <w:rPr>
          <w:rFonts w:ascii="Arial" w:hAnsi="Arial" w:cs="Arial"/>
          <w:b/>
          <w:bCs/>
        </w:rPr>
      </w:pPr>
      <w:r w:rsidRPr="00D00AD5">
        <w:rPr>
          <w:rFonts w:ascii="Arial" w:hAnsi="Arial" w:cs="Arial"/>
          <w:b/>
          <w:bCs/>
        </w:rPr>
        <w:lastRenderedPageBreak/>
        <w:t>3. Toute correspondance, note de service ou communication (y compris les courriels ou les notes d'information) entre le MSSS et l'Institut national de</w:t>
      </w:r>
      <w:r w:rsidR="007E381B">
        <w:rPr>
          <w:rFonts w:ascii="Arial" w:hAnsi="Arial" w:cs="Arial"/>
          <w:b/>
          <w:bCs/>
        </w:rPr>
        <w:t xml:space="preserve"> santé publique du Québec (INSPQ) concernant :</w:t>
      </w:r>
    </w:p>
    <w:p w14:paraId="42DCD919" w14:textId="4AD1BF10" w:rsidR="003E6ACE" w:rsidRPr="00D00AD5" w:rsidRDefault="003E6ACE" w:rsidP="007E381B">
      <w:pPr>
        <w:pStyle w:val="xelementtoproof"/>
        <w:numPr>
          <w:ilvl w:val="0"/>
          <w:numId w:val="6"/>
        </w:numPr>
        <w:spacing w:after="240"/>
        <w:jc w:val="both"/>
        <w:rPr>
          <w:rFonts w:ascii="Arial" w:hAnsi="Arial" w:cs="Arial"/>
          <w:b/>
          <w:bCs/>
        </w:rPr>
      </w:pPr>
      <w:r w:rsidRPr="00D00AD5">
        <w:rPr>
          <w:rFonts w:ascii="Arial" w:hAnsi="Arial" w:cs="Arial"/>
          <w:b/>
          <w:bCs/>
        </w:rPr>
        <w:t>Tendances de l'incidence de la maladie de Lyme ;</w:t>
      </w:r>
    </w:p>
    <w:p w14:paraId="1457217D" w14:textId="240F5127" w:rsidR="00DC0C04" w:rsidRPr="007E381B" w:rsidRDefault="007E381B" w:rsidP="00DC0C04">
      <w:pPr>
        <w:jc w:val="both"/>
        <w:rPr>
          <w:rFonts w:ascii="Arial" w:eastAsia="Times New Roman" w:hAnsi="Arial" w:cs="Arial"/>
          <w:color w:val="000000"/>
          <w:sz w:val="24"/>
          <w:szCs w:val="24"/>
        </w:rPr>
      </w:pPr>
      <w:r w:rsidRPr="007E381B">
        <w:rPr>
          <w:rFonts w:ascii="Arial" w:eastAsia="Times New Roman" w:hAnsi="Arial" w:cs="Arial"/>
          <w:color w:val="000000"/>
          <w:sz w:val="24"/>
          <w:szCs w:val="24"/>
        </w:rPr>
        <w:t xml:space="preserve">Le </w:t>
      </w:r>
      <w:r w:rsidR="006D57EC">
        <w:rPr>
          <w:rFonts w:ascii="Arial" w:eastAsia="Times New Roman" w:hAnsi="Arial" w:cs="Arial"/>
          <w:color w:val="000000"/>
          <w:sz w:val="24"/>
          <w:szCs w:val="24"/>
        </w:rPr>
        <w:t>ministère de la Santé et des Services sociaux</w:t>
      </w:r>
      <w:r w:rsidR="00465207">
        <w:rPr>
          <w:rFonts w:ascii="Arial" w:eastAsia="Times New Roman" w:hAnsi="Arial" w:cs="Arial"/>
          <w:color w:val="000000"/>
          <w:sz w:val="24"/>
          <w:szCs w:val="24"/>
        </w:rPr>
        <w:t xml:space="preserve"> (MSSS)</w:t>
      </w:r>
      <w:r w:rsidRPr="007E381B">
        <w:rPr>
          <w:rFonts w:ascii="Arial" w:eastAsia="Times New Roman" w:hAnsi="Arial" w:cs="Arial"/>
          <w:color w:val="000000"/>
          <w:sz w:val="24"/>
          <w:szCs w:val="24"/>
        </w:rPr>
        <w:t xml:space="preserve"> ne détient aucun document répondant à ce point de la demande. </w:t>
      </w:r>
      <w:r w:rsidR="00DC0C04" w:rsidRPr="007E381B">
        <w:rPr>
          <w:rFonts w:ascii="Arial" w:eastAsia="Times New Roman" w:hAnsi="Arial" w:cs="Arial"/>
          <w:color w:val="000000"/>
          <w:sz w:val="24"/>
          <w:szCs w:val="24"/>
        </w:rPr>
        <w:t>Nos conversations avec l’INSPQ ne se rapportent qu’aux données portant sur le nombre de cas humain. Ces échanges ont lieu durant la réalisation du bulletin de surveillance des maladies transmises par les tiques qui est produit par l’INSPQ annuellement</w:t>
      </w:r>
      <w:r w:rsidRPr="007E381B">
        <w:rPr>
          <w:rFonts w:ascii="Arial" w:eastAsia="Times New Roman" w:hAnsi="Arial" w:cs="Arial"/>
          <w:color w:val="000000"/>
          <w:sz w:val="24"/>
          <w:szCs w:val="24"/>
        </w:rPr>
        <w:t>.</w:t>
      </w:r>
    </w:p>
    <w:p w14:paraId="0BD8E7F3" w14:textId="778CDEE0" w:rsidR="00DC0C04" w:rsidRPr="00465207" w:rsidRDefault="00DC0C04" w:rsidP="00DC0C04">
      <w:pPr>
        <w:jc w:val="both"/>
        <w:rPr>
          <w:rFonts w:ascii="Arial" w:eastAsia="Times New Roman" w:hAnsi="Arial" w:cs="Arial"/>
          <w:color w:val="000000"/>
          <w:sz w:val="24"/>
          <w:szCs w:val="24"/>
        </w:rPr>
      </w:pPr>
      <w:r w:rsidRPr="00465207">
        <w:rPr>
          <w:rFonts w:ascii="Arial" w:eastAsia="Times New Roman" w:hAnsi="Arial" w:cs="Arial"/>
          <w:color w:val="000000"/>
          <w:sz w:val="24"/>
          <w:szCs w:val="24"/>
        </w:rPr>
        <w:t xml:space="preserve">Pour </w:t>
      </w:r>
      <w:r w:rsidR="007E381B" w:rsidRPr="00465207">
        <w:rPr>
          <w:rFonts w:ascii="Arial" w:eastAsia="Times New Roman" w:hAnsi="Arial" w:cs="Arial"/>
          <w:color w:val="000000"/>
          <w:sz w:val="24"/>
          <w:szCs w:val="24"/>
        </w:rPr>
        <w:t xml:space="preserve">votre </w:t>
      </w:r>
      <w:r w:rsidRPr="00465207">
        <w:rPr>
          <w:rFonts w:ascii="Arial" w:eastAsia="Times New Roman" w:hAnsi="Arial" w:cs="Arial"/>
          <w:color w:val="000000"/>
          <w:sz w:val="24"/>
          <w:szCs w:val="24"/>
        </w:rPr>
        <w:t xml:space="preserve">information, les taux d’incidence sont calculés par les équipes de l’INSPQ avec l’aide des données sur la population provenant des </w:t>
      </w:r>
      <w:hyperlink r:id="rId19" w:history="1">
        <w:r w:rsidRPr="00465207">
          <w:rPr>
            <w:rStyle w:val="Lienhypertexte"/>
            <w:rFonts w:ascii="Arial" w:eastAsia="Times New Roman" w:hAnsi="Arial" w:cs="Arial"/>
            <w:sz w:val="24"/>
            <w:szCs w:val="24"/>
          </w:rPr>
          <w:t xml:space="preserve">Estimations et projections de populations par territoire </w:t>
        </w:r>
        <w:proofErr w:type="spellStart"/>
        <w:r w:rsidRPr="00465207">
          <w:rPr>
            <w:rStyle w:val="Lienhypertexte"/>
            <w:rFonts w:ascii="Arial" w:eastAsia="Times New Roman" w:hAnsi="Arial" w:cs="Arial"/>
            <w:sz w:val="24"/>
            <w:szCs w:val="24"/>
          </w:rPr>
          <w:t>sociosanitaire</w:t>
        </w:r>
        <w:proofErr w:type="spellEnd"/>
        <w:r w:rsidRPr="00465207">
          <w:rPr>
            <w:rStyle w:val="Lienhypertexte"/>
            <w:rFonts w:ascii="Arial" w:eastAsia="Times New Roman" w:hAnsi="Arial" w:cs="Arial"/>
            <w:sz w:val="24"/>
            <w:szCs w:val="24"/>
          </w:rPr>
          <w:t xml:space="preserve"> du MSSS</w:t>
        </w:r>
      </w:hyperlink>
      <w:r w:rsidRPr="00465207">
        <w:rPr>
          <w:rFonts w:ascii="Arial" w:eastAsia="Times New Roman" w:hAnsi="Arial" w:cs="Arial"/>
          <w:color w:val="000000"/>
          <w:sz w:val="24"/>
          <w:szCs w:val="24"/>
        </w:rPr>
        <w:t>.</w:t>
      </w:r>
    </w:p>
    <w:p w14:paraId="1B4709F4" w14:textId="77777777" w:rsidR="00DC0C04" w:rsidRPr="00465207" w:rsidRDefault="00DC0C04" w:rsidP="00DC0C04">
      <w:pPr>
        <w:jc w:val="both"/>
        <w:rPr>
          <w:rFonts w:ascii="Arial" w:eastAsia="Times New Roman" w:hAnsi="Arial" w:cs="Arial"/>
          <w:color w:val="000000"/>
          <w:sz w:val="24"/>
          <w:szCs w:val="24"/>
        </w:rPr>
      </w:pPr>
      <w:r w:rsidRPr="00465207">
        <w:rPr>
          <w:rFonts w:ascii="Arial" w:eastAsia="Times New Roman" w:hAnsi="Arial" w:cs="Arial"/>
          <w:color w:val="000000"/>
          <w:sz w:val="24"/>
          <w:szCs w:val="24"/>
        </w:rPr>
        <w:t>(</w:t>
      </w:r>
      <w:hyperlink r:id="rId20" w:history="1">
        <w:r w:rsidRPr="00465207">
          <w:rPr>
            <w:rStyle w:val="Lienhypertexte"/>
            <w:rFonts w:ascii="Arial" w:eastAsia="Times New Roman" w:hAnsi="Arial" w:cs="Arial"/>
            <w:sz w:val="24"/>
            <w:szCs w:val="24"/>
          </w:rPr>
          <w:t>Résultats annuels de surveillance des maladies transmises par les tiques : 2023 | Institut national de santé publique du Québec</w:t>
        </w:r>
      </w:hyperlink>
    </w:p>
    <w:p w14:paraId="59D5C33B" w14:textId="3D96D4E4" w:rsidR="003E6ACE" w:rsidRPr="00465207" w:rsidRDefault="003E6ACE" w:rsidP="00DC0C04">
      <w:pPr>
        <w:pStyle w:val="xelementtoproof"/>
        <w:jc w:val="both"/>
        <w:rPr>
          <w:rFonts w:ascii="Arial" w:hAnsi="Arial" w:cs="Arial"/>
        </w:rPr>
      </w:pPr>
      <w:r w:rsidRPr="00465207">
        <w:rPr>
          <w:rFonts w:ascii="Arial" w:hAnsi="Arial" w:cs="Arial"/>
        </w:rPr>
        <w:t xml:space="preserve">L’incidence de la maladie au fil des ans est publiée dans les </w:t>
      </w:r>
      <w:hyperlink r:id="rId21" w:history="1">
        <w:r w:rsidRPr="00465207">
          <w:rPr>
            <w:rStyle w:val="Lienhypertexte"/>
            <w:rFonts w:ascii="Arial" w:hAnsi="Arial" w:cs="Arial"/>
          </w:rPr>
          <w:t>résultats annuels de surveillance des maladies transmises par les tiques</w:t>
        </w:r>
      </w:hyperlink>
      <w:r w:rsidRPr="00465207">
        <w:rPr>
          <w:rFonts w:ascii="Arial" w:hAnsi="Arial" w:cs="Arial"/>
        </w:rPr>
        <w:t xml:space="preserve"> </w:t>
      </w:r>
    </w:p>
    <w:p w14:paraId="0CD1E565" w14:textId="77777777" w:rsidR="007E381B" w:rsidRDefault="007E381B" w:rsidP="00DC0C04">
      <w:pPr>
        <w:pStyle w:val="xelementtoproof"/>
        <w:spacing w:after="240"/>
        <w:jc w:val="both"/>
        <w:rPr>
          <w:rFonts w:ascii="Arial" w:hAnsi="Arial" w:cs="Arial"/>
          <w:b/>
          <w:bCs/>
        </w:rPr>
      </w:pPr>
    </w:p>
    <w:p w14:paraId="78AFA2CB" w14:textId="3FF9055B" w:rsidR="003E6ACE" w:rsidRPr="00D00AD5" w:rsidRDefault="003E6ACE" w:rsidP="007E381B">
      <w:pPr>
        <w:pStyle w:val="xelementtoproof"/>
        <w:numPr>
          <w:ilvl w:val="0"/>
          <w:numId w:val="6"/>
        </w:numPr>
        <w:spacing w:after="240"/>
        <w:jc w:val="both"/>
        <w:rPr>
          <w:rFonts w:ascii="Arial" w:hAnsi="Arial" w:cs="Arial"/>
        </w:rPr>
      </w:pPr>
      <w:r w:rsidRPr="00D00AD5">
        <w:rPr>
          <w:rFonts w:ascii="Arial" w:hAnsi="Arial" w:cs="Arial"/>
          <w:b/>
          <w:bCs/>
        </w:rPr>
        <w:t xml:space="preserve">Modifications proposées ou mises en œuvre aux protocoles de surveillance, </w:t>
      </w:r>
      <w:r w:rsidR="00A6170B">
        <w:rPr>
          <w:rFonts w:ascii="Arial" w:hAnsi="Arial" w:cs="Arial"/>
          <w:b/>
          <w:bCs/>
        </w:rPr>
        <w:t>d</w:t>
      </w:r>
      <w:r w:rsidRPr="00D00AD5">
        <w:rPr>
          <w:rFonts w:ascii="Arial" w:hAnsi="Arial" w:cs="Arial"/>
          <w:b/>
          <w:bCs/>
        </w:rPr>
        <w:t>'analyse ou de traitement</w:t>
      </w:r>
      <w:r w:rsidR="0087042E">
        <w:rPr>
          <w:rFonts w:ascii="Arial" w:hAnsi="Arial" w:cs="Arial"/>
          <w:b/>
          <w:bCs/>
        </w:rPr>
        <w:t>.</w:t>
      </w:r>
    </w:p>
    <w:p w14:paraId="05054953" w14:textId="70FFD747" w:rsidR="003E6ACE" w:rsidRDefault="007E381B" w:rsidP="00DC0C04">
      <w:pPr>
        <w:pStyle w:val="xelementtoproof"/>
        <w:jc w:val="both"/>
        <w:rPr>
          <w:rFonts w:ascii="Arial" w:hAnsi="Arial" w:cs="Arial"/>
        </w:rPr>
      </w:pPr>
      <w:r w:rsidRPr="00D00AD5">
        <w:rPr>
          <w:rFonts w:ascii="Arial" w:hAnsi="Arial" w:cs="Arial"/>
        </w:rPr>
        <w:t>À la suite de</w:t>
      </w:r>
      <w:r w:rsidR="003E6ACE" w:rsidRPr="00D00AD5">
        <w:rPr>
          <w:rFonts w:ascii="Arial" w:hAnsi="Arial" w:cs="Arial"/>
        </w:rPr>
        <w:t xml:space="preserve"> l’analyse des données de surveillance, une nouvelle définition de la zone endémique a été adoptée en 2024, regroupant les municipalités à risque significatif, ainsi que toutes les municipalités situées à 20 km ou moins de celles-ci. Cette nouvelle définition représente mieux la situation épidémiologique de la maladie de Lyme au Québec. Pour plus d’information</w:t>
      </w:r>
      <w:r w:rsidR="00F3083D">
        <w:rPr>
          <w:rFonts w:ascii="Arial" w:hAnsi="Arial" w:cs="Arial"/>
        </w:rPr>
        <w:t>,</w:t>
      </w:r>
      <w:r w:rsidR="003E6ACE" w:rsidRPr="00D00AD5">
        <w:rPr>
          <w:rFonts w:ascii="Arial" w:hAnsi="Arial" w:cs="Arial"/>
        </w:rPr>
        <w:t xml:space="preserve"> vous référe</w:t>
      </w:r>
      <w:r w:rsidR="00F3083D">
        <w:rPr>
          <w:rFonts w:ascii="Arial" w:hAnsi="Arial" w:cs="Arial"/>
        </w:rPr>
        <w:t>z</w:t>
      </w:r>
      <w:r w:rsidR="003E6ACE" w:rsidRPr="00D00AD5">
        <w:rPr>
          <w:rFonts w:ascii="Arial" w:hAnsi="Arial" w:cs="Arial"/>
        </w:rPr>
        <w:t xml:space="preserve"> à la publication suivante de l’INSPQ :</w:t>
      </w:r>
      <w:r w:rsidR="003E6ACE" w:rsidRPr="00D00AD5">
        <w:rPr>
          <w:rFonts w:ascii="Arial" w:hAnsi="Arial" w:cs="Arial"/>
          <w:b/>
          <w:bCs/>
          <w:color w:val="FF0000"/>
        </w:rPr>
        <w:t xml:space="preserve"> </w:t>
      </w:r>
      <w:hyperlink r:id="rId22" w:history="1">
        <w:r w:rsidR="003E6ACE" w:rsidRPr="00D00AD5">
          <w:rPr>
            <w:rStyle w:val="Lienhypertexte"/>
            <w:rFonts w:ascii="Arial" w:hAnsi="Arial" w:cs="Arial"/>
          </w:rPr>
          <w:t>Mise à jour de la définition de la zone endémique de la maladie de Lyme au Québec en vue de son élargissement</w:t>
        </w:r>
      </w:hyperlink>
      <w:r w:rsidR="00F3083D">
        <w:rPr>
          <w:rFonts w:ascii="Arial" w:hAnsi="Arial" w:cs="Arial"/>
        </w:rPr>
        <w:t>.</w:t>
      </w:r>
    </w:p>
    <w:p w14:paraId="6A78EAD8" w14:textId="77777777" w:rsidR="007E381B" w:rsidRPr="00D00AD5" w:rsidRDefault="007E381B" w:rsidP="00DC0C04">
      <w:pPr>
        <w:pStyle w:val="xelementtoproof"/>
        <w:jc w:val="both"/>
        <w:rPr>
          <w:rFonts w:ascii="Arial" w:hAnsi="Arial" w:cs="Arial"/>
        </w:rPr>
      </w:pPr>
    </w:p>
    <w:p w14:paraId="36DAA721" w14:textId="12DB0B57" w:rsidR="003E6ACE" w:rsidRDefault="003E6ACE" w:rsidP="00DC0C04">
      <w:pPr>
        <w:pStyle w:val="xelementtoproof"/>
        <w:jc w:val="both"/>
        <w:rPr>
          <w:rFonts w:ascii="Arial" w:hAnsi="Arial" w:cs="Arial"/>
        </w:rPr>
      </w:pPr>
      <w:r w:rsidRPr="00D00AD5">
        <w:rPr>
          <w:rFonts w:ascii="Arial" w:hAnsi="Arial" w:cs="Arial"/>
        </w:rPr>
        <w:t xml:space="preserve">D’ailleurs, l’INSPQ met à jour annuellement une carte pour la classification des cas déclarés de maladie de Lyme et l’identification des secteurs visés par la prophylaxie post-exposition (PPE) en tenant compte des données de surveillance. Pour plus d’information vous référer à la publication suivante de l’INSPQ : </w:t>
      </w:r>
      <w:hyperlink r:id="rId23" w:history="1">
        <w:r w:rsidRPr="00D00AD5">
          <w:rPr>
            <w:rStyle w:val="Lienhypertexte"/>
            <w:rFonts w:ascii="Arial" w:hAnsi="Arial" w:cs="Arial"/>
          </w:rPr>
          <w:t xml:space="preserve">Carte de la zone endémique pour la maladie de Lyme au Québec et des secteurs visés par la prophylaxie </w:t>
        </w:r>
        <w:proofErr w:type="spellStart"/>
        <w:r w:rsidRPr="00D00AD5">
          <w:rPr>
            <w:rStyle w:val="Lienhypertexte"/>
            <w:rFonts w:ascii="Arial" w:hAnsi="Arial" w:cs="Arial"/>
          </w:rPr>
          <w:t>postexposition</w:t>
        </w:r>
        <w:proofErr w:type="spellEnd"/>
        <w:r w:rsidRPr="00D00AD5">
          <w:rPr>
            <w:rStyle w:val="Lienhypertexte"/>
            <w:rFonts w:ascii="Arial" w:hAnsi="Arial" w:cs="Arial"/>
          </w:rPr>
          <w:t xml:space="preserve"> (PPE), 2025</w:t>
        </w:r>
      </w:hyperlink>
    </w:p>
    <w:p w14:paraId="0F398EAA" w14:textId="77777777" w:rsidR="00DC0C04" w:rsidRPr="00D00AD5" w:rsidRDefault="00DC0C04" w:rsidP="007E381B">
      <w:pPr>
        <w:pStyle w:val="xelementtoproof"/>
        <w:jc w:val="both"/>
        <w:rPr>
          <w:rFonts w:ascii="Arial" w:hAnsi="Arial" w:cs="Arial"/>
        </w:rPr>
      </w:pPr>
    </w:p>
    <w:p w14:paraId="2DA08A79" w14:textId="07C794E4" w:rsidR="003E6ACE" w:rsidRPr="00D00AD5" w:rsidRDefault="003E6ACE" w:rsidP="007E381B">
      <w:pPr>
        <w:pStyle w:val="xelementtoproof"/>
        <w:numPr>
          <w:ilvl w:val="0"/>
          <w:numId w:val="6"/>
        </w:numPr>
        <w:spacing w:after="240"/>
        <w:jc w:val="both"/>
        <w:rPr>
          <w:rFonts w:ascii="Arial" w:hAnsi="Arial" w:cs="Arial"/>
        </w:rPr>
      </w:pPr>
      <w:r w:rsidRPr="00D00AD5">
        <w:rPr>
          <w:rFonts w:ascii="Arial" w:hAnsi="Arial" w:cs="Arial"/>
          <w:b/>
          <w:bCs/>
        </w:rPr>
        <w:t>Préoccupations de la communauté ou d'un groupe de patients concernant le diagnostic et les soins de la maladie de Lyme.</w:t>
      </w:r>
    </w:p>
    <w:p w14:paraId="166ACBBC" w14:textId="1AA1606E" w:rsidR="000660E6" w:rsidRPr="00D00AD5" w:rsidRDefault="007E381B" w:rsidP="007E381B">
      <w:pPr>
        <w:pStyle w:val="xelementtoproof"/>
        <w:jc w:val="both"/>
        <w:rPr>
          <w:rFonts w:ascii="Arial" w:hAnsi="Arial" w:cs="Arial"/>
        </w:rPr>
      </w:pPr>
      <w:r>
        <w:rPr>
          <w:rFonts w:ascii="Arial" w:hAnsi="Arial" w:cs="Arial"/>
        </w:rPr>
        <w:t>Le MSSS ne détient pas d’information pour ce point de la demande.</w:t>
      </w:r>
    </w:p>
    <w:p w14:paraId="6FD32F3D" w14:textId="77777777" w:rsidR="000660E6" w:rsidRPr="00D00AD5" w:rsidRDefault="000660E6" w:rsidP="007E381B">
      <w:pPr>
        <w:pStyle w:val="xelementtoproof"/>
        <w:jc w:val="both"/>
        <w:rPr>
          <w:rFonts w:ascii="Arial" w:hAnsi="Arial" w:cs="Arial"/>
        </w:rPr>
      </w:pPr>
    </w:p>
    <w:p w14:paraId="3C65BCD4" w14:textId="77777777" w:rsidR="0070242A" w:rsidRDefault="003E6ACE" w:rsidP="0070242A">
      <w:pPr>
        <w:pStyle w:val="xelementtoproof"/>
        <w:spacing w:after="240"/>
        <w:jc w:val="both"/>
        <w:rPr>
          <w:rFonts w:ascii="Arial" w:hAnsi="Arial" w:cs="Arial"/>
          <w:b/>
          <w:bCs/>
        </w:rPr>
      </w:pPr>
      <w:r w:rsidRPr="00D00AD5">
        <w:rPr>
          <w:rFonts w:ascii="Arial" w:hAnsi="Arial" w:cs="Arial"/>
          <w:b/>
          <w:bCs/>
        </w:rPr>
        <w:lastRenderedPageBreak/>
        <w:t xml:space="preserve">4. </w:t>
      </w:r>
      <w:r w:rsidR="009A01A0">
        <w:rPr>
          <w:rFonts w:ascii="Arial" w:hAnsi="Arial" w:cs="Arial"/>
          <w:b/>
          <w:bCs/>
        </w:rPr>
        <w:t>Financement et affectations de ressources (budgets, subventions ou dépenses de programme) liés à la recherche sur la maladie de Lyme, au soutien aux patients, aux campagnes de sensibilisation ou à l’amélioration des diagnostics</w:t>
      </w:r>
      <w:r w:rsidR="0070242A">
        <w:rPr>
          <w:rFonts w:ascii="Arial" w:hAnsi="Arial" w:cs="Arial"/>
          <w:b/>
          <w:bCs/>
        </w:rPr>
        <w:t>.</w:t>
      </w:r>
    </w:p>
    <w:p w14:paraId="0700EAB7" w14:textId="784EB39C" w:rsidR="0070242A" w:rsidRPr="0070242A" w:rsidRDefault="0070242A" w:rsidP="0070242A">
      <w:pPr>
        <w:pStyle w:val="xelementtoproof"/>
        <w:spacing w:after="240"/>
        <w:jc w:val="both"/>
        <w:rPr>
          <w:rFonts w:ascii="Arial" w:hAnsi="Arial" w:cs="Arial"/>
        </w:rPr>
      </w:pPr>
      <w:r w:rsidRPr="0070242A">
        <w:rPr>
          <w:rFonts w:ascii="Arial" w:hAnsi="Arial" w:cs="Arial"/>
        </w:rPr>
        <w:t>Voici les renseignements concernant les campagnes de sensibilisation.</w:t>
      </w:r>
      <w:r w:rsidR="00465207">
        <w:rPr>
          <w:rFonts w:ascii="Arial" w:hAnsi="Arial" w:cs="Arial"/>
        </w:rPr>
        <w:t xml:space="preserve"> Veuillez p</w:t>
      </w:r>
      <w:r w:rsidRPr="0070242A">
        <w:rPr>
          <w:rFonts w:ascii="Arial" w:hAnsi="Arial" w:cs="Arial"/>
        </w:rPr>
        <w:t>rendre note que les montants représentent le total pour la maladie de Lyme et le Virus du Nil occidental. Ces deux campagnes étant toujours réalisées ensemble,</w:t>
      </w:r>
      <w:r w:rsidR="00465207">
        <w:rPr>
          <w:rFonts w:ascii="Arial" w:hAnsi="Arial" w:cs="Arial"/>
        </w:rPr>
        <w:t xml:space="preserve"> donc </w:t>
      </w:r>
      <w:r w:rsidRPr="0070242A">
        <w:rPr>
          <w:rFonts w:ascii="Arial" w:hAnsi="Arial" w:cs="Arial"/>
        </w:rPr>
        <w:t>il est impossible d’extraire les montants pour un volet seulement.</w:t>
      </w:r>
    </w:p>
    <w:p w14:paraId="31065819" w14:textId="3DF25EBD"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2015 – 147 819,65 $</w:t>
      </w:r>
    </w:p>
    <w:p w14:paraId="3A0E32AD" w14:textId="120242A4"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2016 – 149 134,57 $</w:t>
      </w:r>
    </w:p>
    <w:p w14:paraId="17A7C200" w14:textId="1001E0F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2017 – 142 463,85 $</w:t>
      </w:r>
    </w:p>
    <w:p w14:paraId="249B7F8F"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2018 – 240 515,61 $</w:t>
      </w:r>
    </w:p>
    <w:p w14:paraId="0A9B3F3A" w14:textId="78D87F60"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2019 – 244 401,24 $</w:t>
      </w:r>
    </w:p>
    <w:p w14:paraId="115D3514"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2020 – 191 158,91 $</w:t>
      </w:r>
    </w:p>
    <w:p w14:paraId="414B00B0"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2021 – 188 841,90 $</w:t>
      </w:r>
    </w:p>
    <w:p w14:paraId="6F52E6FC"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2022 – 187 559,24 $</w:t>
      </w:r>
    </w:p>
    <w:p w14:paraId="3BC7409E"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2023 – 97 700,52 $</w:t>
      </w:r>
    </w:p>
    <w:p w14:paraId="2CC8A453" w14:textId="77777777" w:rsidR="0070242A" w:rsidRPr="00465207" w:rsidRDefault="0070242A" w:rsidP="0070242A">
      <w:pPr>
        <w:pStyle w:val="Sansinterligne"/>
        <w:rPr>
          <w:rFonts w:ascii="Arial" w:hAnsi="Arial" w:cs="Arial"/>
          <w:sz w:val="24"/>
          <w:szCs w:val="24"/>
          <w:lang w:eastAsia="fr-CA"/>
        </w:rPr>
      </w:pPr>
      <w:r w:rsidRPr="00465207">
        <w:rPr>
          <w:rFonts w:ascii="Arial" w:hAnsi="Arial" w:cs="Arial"/>
          <w:sz w:val="24"/>
          <w:szCs w:val="24"/>
          <w:lang w:eastAsia="fr-CA"/>
        </w:rPr>
        <w:t>2024 – 96 428,68 $</w:t>
      </w:r>
    </w:p>
    <w:p w14:paraId="546531CE" w14:textId="0D824F48" w:rsidR="0070242A" w:rsidRDefault="0070242A" w:rsidP="00465207">
      <w:pPr>
        <w:pStyle w:val="Sansinterligne"/>
        <w:rPr>
          <w:rFonts w:ascii="Arial" w:hAnsi="Arial" w:cs="Arial"/>
          <w:sz w:val="24"/>
          <w:szCs w:val="24"/>
          <w:lang w:eastAsia="fr-CA"/>
        </w:rPr>
      </w:pPr>
      <w:r w:rsidRPr="00465207">
        <w:rPr>
          <w:rFonts w:ascii="Arial" w:hAnsi="Arial" w:cs="Arial"/>
          <w:sz w:val="24"/>
          <w:szCs w:val="24"/>
          <w:lang w:eastAsia="fr-CA"/>
        </w:rPr>
        <w:t xml:space="preserve">2025 </w:t>
      </w:r>
      <w:r w:rsidR="00465207" w:rsidRPr="00465207">
        <w:rPr>
          <w:rFonts w:ascii="Arial" w:hAnsi="Arial" w:cs="Arial"/>
          <w:sz w:val="24"/>
          <w:szCs w:val="24"/>
          <w:lang w:eastAsia="fr-CA"/>
        </w:rPr>
        <w:t>–</w:t>
      </w:r>
      <w:r w:rsidR="00465207">
        <w:rPr>
          <w:rFonts w:ascii="Arial" w:hAnsi="Arial" w:cs="Arial"/>
          <w:sz w:val="24"/>
          <w:szCs w:val="24"/>
          <w:lang w:eastAsia="fr-CA"/>
        </w:rPr>
        <w:softHyphen/>
        <w:t xml:space="preserve"> </w:t>
      </w:r>
      <w:r w:rsidRPr="00465207">
        <w:rPr>
          <w:rFonts w:ascii="Arial" w:hAnsi="Arial" w:cs="Arial"/>
          <w:sz w:val="24"/>
          <w:szCs w:val="24"/>
          <w:lang w:eastAsia="fr-CA"/>
        </w:rPr>
        <w:t>98 394,08 $</w:t>
      </w:r>
    </w:p>
    <w:p w14:paraId="2F01327C" w14:textId="77777777" w:rsidR="00465207" w:rsidRPr="00465207" w:rsidRDefault="00465207" w:rsidP="00465207">
      <w:pPr>
        <w:pStyle w:val="Sansinterligne"/>
        <w:rPr>
          <w:rFonts w:ascii="Arial" w:hAnsi="Arial" w:cs="Arial"/>
          <w:sz w:val="24"/>
          <w:szCs w:val="24"/>
          <w:lang w:eastAsia="fr-CA"/>
        </w:rPr>
      </w:pPr>
    </w:p>
    <w:p w14:paraId="7094A48F" w14:textId="0BEE6A00" w:rsidR="000660E6" w:rsidRDefault="000660E6" w:rsidP="007E381B">
      <w:pPr>
        <w:jc w:val="both"/>
        <w:rPr>
          <w:rFonts w:ascii="Arial" w:hAnsi="Arial" w:cs="Arial"/>
          <w:b/>
          <w:bCs/>
          <w:sz w:val="24"/>
          <w:szCs w:val="24"/>
        </w:rPr>
      </w:pPr>
      <w:r w:rsidRPr="00D00AD5">
        <w:rPr>
          <w:rFonts w:ascii="Arial" w:hAnsi="Arial" w:cs="Arial"/>
          <w:b/>
          <w:bCs/>
          <w:sz w:val="24"/>
          <w:szCs w:val="24"/>
        </w:rPr>
        <w:t>5. Tout plan, stratégie ou évaluation de santé publique qui mentionne les besoins ou les lacunes en matière de services pour les personnes touchées par la maladie de Lyme au Québec.</w:t>
      </w:r>
    </w:p>
    <w:p w14:paraId="24B2568C" w14:textId="4CA7944A" w:rsidR="00AE083A" w:rsidRPr="00AE083A" w:rsidRDefault="00AE083A" w:rsidP="007E381B">
      <w:pPr>
        <w:jc w:val="both"/>
        <w:rPr>
          <w:rFonts w:ascii="Arial" w:hAnsi="Arial" w:cs="Arial"/>
          <w:sz w:val="24"/>
          <w:szCs w:val="24"/>
        </w:rPr>
      </w:pPr>
      <w:r w:rsidRPr="00AE083A">
        <w:rPr>
          <w:rFonts w:ascii="Arial" w:hAnsi="Arial" w:cs="Arial"/>
          <w:sz w:val="24"/>
          <w:szCs w:val="24"/>
        </w:rPr>
        <w:t>V</w:t>
      </w:r>
      <w:r>
        <w:rPr>
          <w:rFonts w:ascii="Arial" w:hAnsi="Arial" w:cs="Arial"/>
          <w:sz w:val="24"/>
          <w:szCs w:val="24"/>
        </w:rPr>
        <w:t xml:space="preserve">ous trouverez des informations pour ce point aux liens ci-dessous. </w:t>
      </w:r>
    </w:p>
    <w:p w14:paraId="117A03E1" w14:textId="79DDE3F9" w:rsidR="000660E6" w:rsidRPr="0087042E" w:rsidRDefault="000660E6" w:rsidP="007E381B">
      <w:pPr>
        <w:jc w:val="both"/>
        <w:rPr>
          <w:rFonts w:ascii="Arial" w:eastAsia="Aptos" w:hAnsi="Arial" w:cs="Arial"/>
          <w:color w:val="467886"/>
          <w:sz w:val="24"/>
          <w:szCs w:val="24"/>
          <w:u w:val="single"/>
        </w:rPr>
      </w:pPr>
      <w:hyperlink r:id="rId24">
        <w:r w:rsidRPr="00D00AD5">
          <w:rPr>
            <w:rStyle w:val="Lienhypertexte"/>
            <w:rFonts w:ascii="Arial" w:eastAsia="Aptos" w:hAnsi="Arial" w:cs="Arial"/>
            <w:color w:val="467886"/>
            <w:sz w:val="24"/>
            <w:szCs w:val="24"/>
          </w:rPr>
          <w:t xml:space="preserve">Fiche technique sur la maladie de Lyme </w:t>
        </w:r>
        <w:r w:rsidR="00756CA9">
          <w:rPr>
            <w:rStyle w:val="Lienhypertexte"/>
            <w:rFonts w:ascii="Arial" w:eastAsia="Aptos" w:hAnsi="Arial" w:cs="Arial"/>
            <w:color w:val="467886"/>
            <w:sz w:val="24"/>
            <w:szCs w:val="24"/>
          </w:rPr>
          <w:t>–</w:t>
        </w:r>
        <w:r w:rsidRPr="00D00AD5">
          <w:rPr>
            <w:rStyle w:val="Lienhypertexte"/>
            <w:rFonts w:ascii="Arial" w:eastAsia="Aptos" w:hAnsi="Arial" w:cs="Arial"/>
            <w:color w:val="467886"/>
            <w:sz w:val="24"/>
            <w:szCs w:val="24"/>
          </w:rPr>
          <w:t xml:space="preserve"> </w:t>
        </w:r>
        <w:r w:rsidR="00F3083D">
          <w:rPr>
            <w:rStyle w:val="Lienhypertexte"/>
            <w:rFonts w:ascii="Arial" w:eastAsia="Aptos" w:hAnsi="Arial" w:cs="Arial"/>
            <w:color w:val="467886"/>
            <w:sz w:val="24"/>
            <w:szCs w:val="24"/>
          </w:rPr>
          <w:t>m</w:t>
        </w:r>
        <w:r w:rsidRPr="00D00AD5">
          <w:rPr>
            <w:rStyle w:val="Lienhypertexte"/>
            <w:rFonts w:ascii="Arial" w:eastAsia="Aptos" w:hAnsi="Arial" w:cs="Arial"/>
            <w:color w:val="467886"/>
            <w:sz w:val="24"/>
            <w:szCs w:val="24"/>
          </w:rPr>
          <w:t>ai2022</w:t>
        </w:r>
      </w:hyperlink>
    </w:p>
    <w:p w14:paraId="10F38105" w14:textId="77777777" w:rsidR="000660E6" w:rsidRPr="00D00AD5" w:rsidRDefault="000660E6" w:rsidP="007E381B">
      <w:pPr>
        <w:jc w:val="both"/>
        <w:rPr>
          <w:rFonts w:ascii="Arial" w:hAnsi="Arial" w:cs="Arial"/>
          <w:sz w:val="24"/>
          <w:szCs w:val="24"/>
        </w:rPr>
      </w:pPr>
      <w:hyperlink r:id="rId25">
        <w:r w:rsidRPr="00D00AD5">
          <w:rPr>
            <w:rStyle w:val="Lienhypertexte"/>
            <w:rFonts w:ascii="Arial" w:eastAsia="Aptos" w:hAnsi="Arial" w:cs="Arial"/>
            <w:color w:val="467886"/>
            <w:sz w:val="24"/>
            <w:szCs w:val="24"/>
          </w:rPr>
          <w:t>bibliotheque.assnat.qc.ca/DepotNumerique_v2/AffichageFichier.aspx?idf=189489</w:t>
        </w:r>
      </w:hyperlink>
    </w:p>
    <w:p w14:paraId="68A94BB8" w14:textId="77777777" w:rsidR="000660E6" w:rsidRPr="00D00AD5" w:rsidRDefault="000660E6" w:rsidP="007E381B">
      <w:pPr>
        <w:jc w:val="both"/>
        <w:rPr>
          <w:rFonts w:ascii="Arial" w:hAnsi="Arial" w:cs="Arial"/>
          <w:sz w:val="24"/>
          <w:szCs w:val="24"/>
        </w:rPr>
      </w:pPr>
      <w:hyperlink r:id="rId26">
        <w:r w:rsidRPr="00D00AD5">
          <w:rPr>
            <w:rStyle w:val="Lienhypertexte"/>
            <w:rFonts w:ascii="Arial" w:eastAsia="Aptos" w:hAnsi="Arial" w:cs="Arial"/>
            <w:color w:val="467886"/>
            <w:sz w:val="24"/>
            <w:szCs w:val="24"/>
          </w:rPr>
          <w:t>Plan d'analyse de la surveillance intégrée de la maladie de Lyme</w:t>
        </w:r>
        <w:r w:rsidRPr="00D00AD5">
          <w:rPr>
            <w:rFonts w:ascii="Arial" w:hAnsi="Arial" w:cs="Arial"/>
            <w:sz w:val="24"/>
            <w:szCs w:val="24"/>
          </w:rPr>
          <w:br/>
        </w:r>
      </w:hyperlink>
    </w:p>
    <w:p w14:paraId="26DCC23D" w14:textId="77777777" w:rsidR="001C215D" w:rsidRPr="00D00AD5" w:rsidRDefault="001C215D" w:rsidP="00DC0C04">
      <w:pPr>
        <w:jc w:val="both"/>
        <w:rPr>
          <w:rFonts w:ascii="Arial" w:hAnsi="Arial" w:cs="Arial"/>
          <w:sz w:val="24"/>
          <w:szCs w:val="24"/>
        </w:rPr>
      </w:pPr>
    </w:p>
    <w:sectPr w:rsidR="001C215D" w:rsidRPr="00D00AD5">
      <w:headerReference w:type="even" r:id="rId27"/>
      <w:headerReference w:type="default" r:id="rId28"/>
      <w:footerReference w:type="even" r:id="rId29"/>
      <w:footerReference w:type="default" r:id="rId30"/>
      <w:headerReference w:type="first" r:id="rId31"/>
      <w:footerReference w:type="first" r:id="rId3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07F8" w14:textId="77777777" w:rsidR="00F3083D" w:rsidRDefault="00F3083D" w:rsidP="00F3083D">
      <w:pPr>
        <w:spacing w:after="0" w:line="240" w:lineRule="auto"/>
      </w:pPr>
      <w:r>
        <w:separator/>
      </w:r>
    </w:p>
  </w:endnote>
  <w:endnote w:type="continuationSeparator" w:id="0">
    <w:p w14:paraId="75E4A1D2" w14:textId="77777777" w:rsidR="00F3083D" w:rsidRDefault="00F3083D" w:rsidP="00F3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6C1" w14:textId="77777777" w:rsidR="00F3083D" w:rsidRDefault="00F308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2442" w14:textId="77777777" w:rsidR="00F3083D" w:rsidRDefault="00F308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90D9" w14:textId="77777777" w:rsidR="00F3083D" w:rsidRDefault="00F308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B0AB" w14:textId="77777777" w:rsidR="00F3083D" w:rsidRDefault="00F3083D" w:rsidP="00F3083D">
      <w:pPr>
        <w:spacing w:after="0" w:line="240" w:lineRule="auto"/>
      </w:pPr>
      <w:r>
        <w:separator/>
      </w:r>
    </w:p>
  </w:footnote>
  <w:footnote w:type="continuationSeparator" w:id="0">
    <w:p w14:paraId="69840CC2" w14:textId="77777777" w:rsidR="00F3083D" w:rsidRDefault="00F3083D" w:rsidP="00F30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4B1" w14:textId="77777777" w:rsidR="00F3083D" w:rsidRDefault="00F308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D3C9" w14:textId="77777777" w:rsidR="00F3083D" w:rsidRDefault="00F308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974" w14:textId="77777777" w:rsidR="00F3083D" w:rsidRDefault="00F308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4A"/>
    <w:multiLevelType w:val="hybridMultilevel"/>
    <w:tmpl w:val="7540834C"/>
    <w:lvl w:ilvl="0" w:tplc="18BE941C">
      <w:start w:val="13"/>
      <w:numFmt w:val="bullet"/>
      <w:lvlText w:val="-"/>
      <w:lvlJc w:val="left"/>
      <w:pPr>
        <w:ind w:left="720" w:hanging="360"/>
      </w:pPr>
      <w:rPr>
        <w:rFonts w:ascii="Aptos" w:eastAsia="Times New Roman" w:hAnsi="Aptos" w:cs="Apto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DCA21CA"/>
    <w:multiLevelType w:val="hybridMultilevel"/>
    <w:tmpl w:val="0804D24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45DAADB"/>
    <w:multiLevelType w:val="hybridMultilevel"/>
    <w:tmpl w:val="19CAC95A"/>
    <w:lvl w:ilvl="0" w:tplc="332CABC6">
      <w:start w:val="1"/>
      <w:numFmt w:val="bullet"/>
      <w:lvlText w:val=""/>
      <w:lvlJc w:val="left"/>
      <w:pPr>
        <w:ind w:left="720" w:hanging="360"/>
      </w:pPr>
      <w:rPr>
        <w:rFonts w:ascii="Symbol" w:hAnsi="Symbol" w:hint="default"/>
      </w:rPr>
    </w:lvl>
    <w:lvl w:ilvl="1" w:tplc="48880B1A">
      <w:start w:val="1"/>
      <w:numFmt w:val="bullet"/>
      <w:lvlText w:val="o"/>
      <w:lvlJc w:val="left"/>
      <w:pPr>
        <w:ind w:left="1440" w:hanging="360"/>
      </w:pPr>
      <w:rPr>
        <w:rFonts w:ascii="Courier New" w:hAnsi="Courier New" w:cs="Times New Roman" w:hint="default"/>
      </w:rPr>
    </w:lvl>
    <w:lvl w:ilvl="2" w:tplc="35A43C5E">
      <w:start w:val="1"/>
      <w:numFmt w:val="bullet"/>
      <w:lvlText w:val=""/>
      <w:lvlJc w:val="left"/>
      <w:pPr>
        <w:ind w:left="2160" w:hanging="360"/>
      </w:pPr>
      <w:rPr>
        <w:rFonts w:ascii="Wingdings" w:hAnsi="Wingdings" w:hint="default"/>
      </w:rPr>
    </w:lvl>
    <w:lvl w:ilvl="3" w:tplc="2AEAD4E0">
      <w:start w:val="1"/>
      <w:numFmt w:val="bullet"/>
      <w:lvlText w:val=""/>
      <w:lvlJc w:val="left"/>
      <w:pPr>
        <w:ind w:left="2880" w:hanging="360"/>
      </w:pPr>
      <w:rPr>
        <w:rFonts w:ascii="Symbol" w:hAnsi="Symbol" w:hint="default"/>
      </w:rPr>
    </w:lvl>
    <w:lvl w:ilvl="4" w:tplc="52283898">
      <w:start w:val="1"/>
      <w:numFmt w:val="bullet"/>
      <w:lvlText w:val="o"/>
      <w:lvlJc w:val="left"/>
      <w:pPr>
        <w:ind w:left="3600" w:hanging="360"/>
      </w:pPr>
      <w:rPr>
        <w:rFonts w:ascii="Courier New" w:hAnsi="Courier New" w:cs="Times New Roman" w:hint="default"/>
      </w:rPr>
    </w:lvl>
    <w:lvl w:ilvl="5" w:tplc="987EC81E">
      <w:start w:val="1"/>
      <w:numFmt w:val="bullet"/>
      <w:lvlText w:val=""/>
      <w:lvlJc w:val="left"/>
      <w:pPr>
        <w:ind w:left="4320" w:hanging="360"/>
      </w:pPr>
      <w:rPr>
        <w:rFonts w:ascii="Wingdings" w:hAnsi="Wingdings" w:hint="default"/>
      </w:rPr>
    </w:lvl>
    <w:lvl w:ilvl="6" w:tplc="D3EA62A0">
      <w:start w:val="1"/>
      <w:numFmt w:val="bullet"/>
      <w:lvlText w:val=""/>
      <w:lvlJc w:val="left"/>
      <w:pPr>
        <w:ind w:left="5040" w:hanging="360"/>
      </w:pPr>
      <w:rPr>
        <w:rFonts w:ascii="Symbol" w:hAnsi="Symbol" w:hint="default"/>
      </w:rPr>
    </w:lvl>
    <w:lvl w:ilvl="7" w:tplc="1FECEF10">
      <w:start w:val="1"/>
      <w:numFmt w:val="bullet"/>
      <w:lvlText w:val="o"/>
      <w:lvlJc w:val="left"/>
      <w:pPr>
        <w:ind w:left="5760" w:hanging="360"/>
      </w:pPr>
      <w:rPr>
        <w:rFonts w:ascii="Courier New" w:hAnsi="Courier New" w:cs="Times New Roman" w:hint="default"/>
      </w:rPr>
    </w:lvl>
    <w:lvl w:ilvl="8" w:tplc="FEC22372">
      <w:start w:val="1"/>
      <w:numFmt w:val="bullet"/>
      <w:lvlText w:val=""/>
      <w:lvlJc w:val="left"/>
      <w:pPr>
        <w:ind w:left="6480" w:hanging="360"/>
      </w:pPr>
      <w:rPr>
        <w:rFonts w:ascii="Wingdings" w:hAnsi="Wingdings" w:hint="default"/>
      </w:rPr>
    </w:lvl>
  </w:abstractNum>
  <w:abstractNum w:abstractNumId="3" w15:restartNumberingAfterBreak="0">
    <w:nsid w:val="350A043E"/>
    <w:multiLevelType w:val="hybridMultilevel"/>
    <w:tmpl w:val="83908E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A17503E"/>
    <w:multiLevelType w:val="hybridMultilevel"/>
    <w:tmpl w:val="641E64C6"/>
    <w:lvl w:ilvl="0" w:tplc="0C0C0003">
      <w:start w:val="1"/>
      <w:numFmt w:val="bullet"/>
      <w:lvlText w:val="o"/>
      <w:lvlJc w:val="left"/>
      <w:pPr>
        <w:ind w:left="1287" w:hanging="360"/>
      </w:pPr>
      <w:rPr>
        <w:rFonts w:ascii="Courier New" w:hAnsi="Courier New" w:cs="Courier New" w:hint="default"/>
      </w:rPr>
    </w:lvl>
    <w:lvl w:ilvl="1" w:tplc="0C0C0003">
      <w:start w:val="1"/>
      <w:numFmt w:val="bullet"/>
      <w:lvlText w:val="o"/>
      <w:lvlJc w:val="left"/>
      <w:pPr>
        <w:ind w:left="2007" w:hanging="360"/>
      </w:pPr>
      <w:rPr>
        <w:rFonts w:ascii="Courier New" w:hAnsi="Courier New" w:cs="Courier New" w:hint="default"/>
      </w:rPr>
    </w:lvl>
    <w:lvl w:ilvl="2" w:tplc="0C0C0005">
      <w:start w:val="1"/>
      <w:numFmt w:val="bullet"/>
      <w:lvlText w:val=""/>
      <w:lvlJc w:val="left"/>
      <w:pPr>
        <w:ind w:left="2727" w:hanging="360"/>
      </w:pPr>
      <w:rPr>
        <w:rFonts w:ascii="Wingdings" w:hAnsi="Wingdings" w:hint="default"/>
      </w:rPr>
    </w:lvl>
    <w:lvl w:ilvl="3" w:tplc="0C0C0001">
      <w:start w:val="1"/>
      <w:numFmt w:val="bullet"/>
      <w:lvlText w:val=""/>
      <w:lvlJc w:val="left"/>
      <w:pPr>
        <w:ind w:left="3447" w:hanging="360"/>
      </w:pPr>
      <w:rPr>
        <w:rFonts w:ascii="Symbol" w:hAnsi="Symbol" w:hint="default"/>
      </w:rPr>
    </w:lvl>
    <w:lvl w:ilvl="4" w:tplc="0C0C0003">
      <w:start w:val="1"/>
      <w:numFmt w:val="bullet"/>
      <w:lvlText w:val="o"/>
      <w:lvlJc w:val="left"/>
      <w:pPr>
        <w:ind w:left="4167" w:hanging="360"/>
      </w:pPr>
      <w:rPr>
        <w:rFonts w:ascii="Courier New" w:hAnsi="Courier New" w:cs="Courier New" w:hint="default"/>
      </w:rPr>
    </w:lvl>
    <w:lvl w:ilvl="5" w:tplc="0C0C0005">
      <w:start w:val="1"/>
      <w:numFmt w:val="bullet"/>
      <w:lvlText w:val=""/>
      <w:lvlJc w:val="left"/>
      <w:pPr>
        <w:ind w:left="4887" w:hanging="360"/>
      </w:pPr>
      <w:rPr>
        <w:rFonts w:ascii="Wingdings" w:hAnsi="Wingdings" w:hint="default"/>
      </w:rPr>
    </w:lvl>
    <w:lvl w:ilvl="6" w:tplc="0C0C0001">
      <w:start w:val="1"/>
      <w:numFmt w:val="bullet"/>
      <w:lvlText w:val=""/>
      <w:lvlJc w:val="left"/>
      <w:pPr>
        <w:ind w:left="5607" w:hanging="360"/>
      </w:pPr>
      <w:rPr>
        <w:rFonts w:ascii="Symbol" w:hAnsi="Symbol" w:hint="default"/>
      </w:rPr>
    </w:lvl>
    <w:lvl w:ilvl="7" w:tplc="0C0C0003">
      <w:start w:val="1"/>
      <w:numFmt w:val="bullet"/>
      <w:lvlText w:val="o"/>
      <w:lvlJc w:val="left"/>
      <w:pPr>
        <w:ind w:left="6327" w:hanging="360"/>
      </w:pPr>
      <w:rPr>
        <w:rFonts w:ascii="Courier New" w:hAnsi="Courier New" w:cs="Courier New" w:hint="default"/>
      </w:rPr>
    </w:lvl>
    <w:lvl w:ilvl="8" w:tplc="0C0C0005">
      <w:start w:val="1"/>
      <w:numFmt w:val="bullet"/>
      <w:lvlText w:val=""/>
      <w:lvlJc w:val="left"/>
      <w:pPr>
        <w:ind w:left="7047" w:hanging="360"/>
      </w:pPr>
      <w:rPr>
        <w:rFonts w:ascii="Wingdings" w:hAnsi="Wingdings" w:hint="default"/>
      </w:rPr>
    </w:lvl>
  </w:abstractNum>
  <w:abstractNum w:abstractNumId="5" w15:restartNumberingAfterBreak="0">
    <w:nsid w:val="71AA59A8"/>
    <w:multiLevelType w:val="hybridMultilevel"/>
    <w:tmpl w:val="3B1C1AD2"/>
    <w:lvl w:ilvl="0" w:tplc="0C0C0003">
      <w:start w:val="1"/>
      <w:numFmt w:val="bullet"/>
      <w:lvlText w:val="o"/>
      <w:lvlJc w:val="left"/>
      <w:pPr>
        <w:ind w:left="1015" w:hanging="360"/>
      </w:pPr>
      <w:rPr>
        <w:rFonts w:ascii="Courier New" w:hAnsi="Courier New" w:cs="Courier New" w:hint="default"/>
      </w:rPr>
    </w:lvl>
    <w:lvl w:ilvl="1" w:tplc="0C0C0003" w:tentative="1">
      <w:start w:val="1"/>
      <w:numFmt w:val="bullet"/>
      <w:lvlText w:val="o"/>
      <w:lvlJc w:val="left"/>
      <w:pPr>
        <w:ind w:left="1735" w:hanging="360"/>
      </w:pPr>
      <w:rPr>
        <w:rFonts w:ascii="Courier New" w:hAnsi="Courier New" w:cs="Courier New" w:hint="default"/>
      </w:rPr>
    </w:lvl>
    <w:lvl w:ilvl="2" w:tplc="0C0C0005" w:tentative="1">
      <w:start w:val="1"/>
      <w:numFmt w:val="bullet"/>
      <w:lvlText w:val=""/>
      <w:lvlJc w:val="left"/>
      <w:pPr>
        <w:ind w:left="2455" w:hanging="360"/>
      </w:pPr>
      <w:rPr>
        <w:rFonts w:ascii="Wingdings" w:hAnsi="Wingdings" w:hint="default"/>
      </w:rPr>
    </w:lvl>
    <w:lvl w:ilvl="3" w:tplc="0C0C0001" w:tentative="1">
      <w:start w:val="1"/>
      <w:numFmt w:val="bullet"/>
      <w:lvlText w:val=""/>
      <w:lvlJc w:val="left"/>
      <w:pPr>
        <w:ind w:left="3175" w:hanging="360"/>
      </w:pPr>
      <w:rPr>
        <w:rFonts w:ascii="Symbol" w:hAnsi="Symbol" w:hint="default"/>
      </w:rPr>
    </w:lvl>
    <w:lvl w:ilvl="4" w:tplc="0C0C0003" w:tentative="1">
      <w:start w:val="1"/>
      <w:numFmt w:val="bullet"/>
      <w:lvlText w:val="o"/>
      <w:lvlJc w:val="left"/>
      <w:pPr>
        <w:ind w:left="3895" w:hanging="360"/>
      </w:pPr>
      <w:rPr>
        <w:rFonts w:ascii="Courier New" w:hAnsi="Courier New" w:cs="Courier New" w:hint="default"/>
      </w:rPr>
    </w:lvl>
    <w:lvl w:ilvl="5" w:tplc="0C0C0005" w:tentative="1">
      <w:start w:val="1"/>
      <w:numFmt w:val="bullet"/>
      <w:lvlText w:val=""/>
      <w:lvlJc w:val="left"/>
      <w:pPr>
        <w:ind w:left="4615" w:hanging="360"/>
      </w:pPr>
      <w:rPr>
        <w:rFonts w:ascii="Wingdings" w:hAnsi="Wingdings" w:hint="default"/>
      </w:rPr>
    </w:lvl>
    <w:lvl w:ilvl="6" w:tplc="0C0C0001" w:tentative="1">
      <w:start w:val="1"/>
      <w:numFmt w:val="bullet"/>
      <w:lvlText w:val=""/>
      <w:lvlJc w:val="left"/>
      <w:pPr>
        <w:ind w:left="5335" w:hanging="360"/>
      </w:pPr>
      <w:rPr>
        <w:rFonts w:ascii="Symbol" w:hAnsi="Symbol" w:hint="default"/>
      </w:rPr>
    </w:lvl>
    <w:lvl w:ilvl="7" w:tplc="0C0C0003" w:tentative="1">
      <w:start w:val="1"/>
      <w:numFmt w:val="bullet"/>
      <w:lvlText w:val="o"/>
      <w:lvlJc w:val="left"/>
      <w:pPr>
        <w:ind w:left="6055" w:hanging="360"/>
      </w:pPr>
      <w:rPr>
        <w:rFonts w:ascii="Courier New" w:hAnsi="Courier New" w:cs="Courier New" w:hint="default"/>
      </w:rPr>
    </w:lvl>
    <w:lvl w:ilvl="8" w:tplc="0C0C0005" w:tentative="1">
      <w:start w:val="1"/>
      <w:numFmt w:val="bullet"/>
      <w:lvlText w:val=""/>
      <w:lvlJc w:val="left"/>
      <w:pPr>
        <w:ind w:left="6775" w:hanging="360"/>
      </w:pPr>
      <w:rPr>
        <w:rFonts w:ascii="Wingdings" w:hAnsi="Wingdings" w:hint="default"/>
      </w:rPr>
    </w:lvl>
  </w:abstractNum>
  <w:abstractNum w:abstractNumId="6" w15:restartNumberingAfterBreak="0">
    <w:nsid w:val="744C676F"/>
    <w:multiLevelType w:val="hybridMultilevel"/>
    <w:tmpl w:val="8F66B8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74607941">
    <w:abstractNumId w:val="0"/>
  </w:num>
  <w:num w:numId="2" w16cid:durableId="326523644">
    <w:abstractNumId w:val="4"/>
  </w:num>
  <w:num w:numId="3" w16cid:durableId="2125691136">
    <w:abstractNumId w:val="2"/>
  </w:num>
  <w:num w:numId="4" w16cid:durableId="109012731">
    <w:abstractNumId w:val="5"/>
  </w:num>
  <w:num w:numId="5" w16cid:durableId="794451747">
    <w:abstractNumId w:val="0"/>
  </w:num>
  <w:num w:numId="6" w16cid:durableId="1364477138">
    <w:abstractNumId w:val="6"/>
  </w:num>
  <w:num w:numId="7" w16cid:durableId="1778329225">
    <w:abstractNumId w:val="1"/>
  </w:num>
  <w:num w:numId="8" w16cid:durableId="890994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E"/>
    <w:rsid w:val="000660E6"/>
    <w:rsid w:val="000D5890"/>
    <w:rsid w:val="00117829"/>
    <w:rsid w:val="001C215D"/>
    <w:rsid w:val="002740D3"/>
    <w:rsid w:val="003E6ACE"/>
    <w:rsid w:val="00465207"/>
    <w:rsid w:val="005428C6"/>
    <w:rsid w:val="005B5BB8"/>
    <w:rsid w:val="00673E92"/>
    <w:rsid w:val="006D57EC"/>
    <w:rsid w:val="0070242A"/>
    <w:rsid w:val="007501F0"/>
    <w:rsid w:val="00756CA9"/>
    <w:rsid w:val="007952E7"/>
    <w:rsid w:val="007E381B"/>
    <w:rsid w:val="008232C0"/>
    <w:rsid w:val="0087042E"/>
    <w:rsid w:val="00874703"/>
    <w:rsid w:val="008A7A5C"/>
    <w:rsid w:val="009A01A0"/>
    <w:rsid w:val="00A6170B"/>
    <w:rsid w:val="00A97B38"/>
    <w:rsid w:val="00AE083A"/>
    <w:rsid w:val="00BA66F6"/>
    <w:rsid w:val="00BB66F6"/>
    <w:rsid w:val="00C364DB"/>
    <w:rsid w:val="00CD3194"/>
    <w:rsid w:val="00D00AD5"/>
    <w:rsid w:val="00D17F0C"/>
    <w:rsid w:val="00DC0C04"/>
    <w:rsid w:val="00EF5FC3"/>
    <w:rsid w:val="00F026DE"/>
    <w:rsid w:val="00F308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B5A1"/>
  <w15:chartTrackingRefBased/>
  <w15:docId w15:val="{F87FCB88-E229-45C9-BFD1-F52F4681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6A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6A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6A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6A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6A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6A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6A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6A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6A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6A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6A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6A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6A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6A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6A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6ACE"/>
    <w:rPr>
      <w:rFonts w:eastAsiaTheme="majorEastAsia" w:cstheme="majorBidi"/>
      <w:color w:val="272727" w:themeColor="text1" w:themeTint="D8"/>
    </w:rPr>
  </w:style>
  <w:style w:type="paragraph" w:styleId="Titre">
    <w:name w:val="Title"/>
    <w:basedOn w:val="Normal"/>
    <w:next w:val="Normal"/>
    <w:link w:val="TitreCar"/>
    <w:uiPriority w:val="10"/>
    <w:qFormat/>
    <w:rsid w:val="003E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6A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6A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6A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6ACE"/>
    <w:pPr>
      <w:spacing w:before="160"/>
      <w:jc w:val="center"/>
    </w:pPr>
    <w:rPr>
      <w:i/>
      <w:iCs/>
      <w:color w:val="404040" w:themeColor="text1" w:themeTint="BF"/>
    </w:rPr>
  </w:style>
  <w:style w:type="character" w:customStyle="1" w:styleId="CitationCar">
    <w:name w:val="Citation Car"/>
    <w:basedOn w:val="Policepardfaut"/>
    <w:link w:val="Citation"/>
    <w:uiPriority w:val="29"/>
    <w:rsid w:val="003E6ACE"/>
    <w:rPr>
      <w:i/>
      <w:iCs/>
      <w:color w:val="404040" w:themeColor="text1" w:themeTint="BF"/>
    </w:rPr>
  </w:style>
  <w:style w:type="paragraph" w:styleId="Paragraphedeliste">
    <w:name w:val="List Paragraph"/>
    <w:basedOn w:val="Normal"/>
    <w:uiPriority w:val="34"/>
    <w:qFormat/>
    <w:rsid w:val="003E6ACE"/>
    <w:pPr>
      <w:ind w:left="720"/>
      <w:contextualSpacing/>
    </w:pPr>
  </w:style>
  <w:style w:type="character" w:styleId="Accentuationintense">
    <w:name w:val="Intense Emphasis"/>
    <w:basedOn w:val="Policepardfaut"/>
    <w:uiPriority w:val="21"/>
    <w:qFormat/>
    <w:rsid w:val="003E6ACE"/>
    <w:rPr>
      <w:i/>
      <w:iCs/>
      <w:color w:val="0F4761" w:themeColor="accent1" w:themeShade="BF"/>
    </w:rPr>
  </w:style>
  <w:style w:type="paragraph" w:styleId="Citationintense">
    <w:name w:val="Intense Quote"/>
    <w:basedOn w:val="Normal"/>
    <w:next w:val="Normal"/>
    <w:link w:val="CitationintenseCar"/>
    <w:uiPriority w:val="30"/>
    <w:qFormat/>
    <w:rsid w:val="003E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6ACE"/>
    <w:rPr>
      <w:i/>
      <w:iCs/>
      <w:color w:val="0F4761" w:themeColor="accent1" w:themeShade="BF"/>
    </w:rPr>
  </w:style>
  <w:style w:type="character" w:styleId="Rfrenceintense">
    <w:name w:val="Intense Reference"/>
    <w:basedOn w:val="Policepardfaut"/>
    <w:uiPriority w:val="32"/>
    <w:qFormat/>
    <w:rsid w:val="003E6ACE"/>
    <w:rPr>
      <w:b/>
      <w:bCs/>
      <w:smallCaps/>
      <w:color w:val="0F4761" w:themeColor="accent1" w:themeShade="BF"/>
      <w:spacing w:val="5"/>
    </w:rPr>
  </w:style>
  <w:style w:type="character" w:styleId="Lienhypertexte">
    <w:name w:val="Hyperlink"/>
    <w:basedOn w:val="Policepardfaut"/>
    <w:uiPriority w:val="99"/>
    <w:unhideWhenUsed/>
    <w:rsid w:val="003E6ACE"/>
    <w:rPr>
      <w:color w:val="0000FF"/>
      <w:u w:val="single"/>
    </w:rPr>
  </w:style>
  <w:style w:type="paragraph" w:customStyle="1" w:styleId="xelementtoproof">
    <w:name w:val="x_elementtoproof"/>
    <w:basedOn w:val="Normal"/>
    <w:rsid w:val="003E6ACE"/>
    <w:pPr>
      <w:spacing w:after="0" w:line="240" w:lineRule="auto"/>
    </w:pPr>
    <w:rPr>
      <w:rFonts w:ascii="Aptos" w:hAnsi="Aptos" w:cs="Aptos"/>
      <w:kern w:val="0"/>
      <w:sz w:val="24"/>
      <w:szCs w:val="24"/>
      <w:lang w:eastAsia="fr-CA"/>
      <w14:ligatures w14:val="none"/>
    </w:rPr>
  </w:style>
  <w:style w:type="character" w:styleId="Lienhypertextesuivivisit">
    <w:name w:val="FollowedHyperlink"/>
    <w:basedOn w:val="Policepardfaut"/>
    <w:uiPriority w:val="99"/>
    <w:semiHidden/>
    <w:unhideWhenUsed/>
    <w:rsid w:val="000660E6"/>
    <w:rPr>
      <w:color w:val="96607D" w:themeColor="followedHyperlink"/>
      <w:u w:val="single"/>
    </w:rPr>
  </w:style>
  <w:style w:type="character" w:styleId="Marquedecommentaire">
    <w:name w:val="annotation reference"/>
    <w:basedOn w:val="Policepardfaut"/>
    <w:uiPriority w:val="99"/>
    <w:semiHidden/>
    <w:unhideWhenUsed/>
    <w:rsid w:val="000660E6"/>
    <w:rPr>
      <w:sz w:val="16"/>
      <w:szCs w:val="16"/>
    </w:rPr>
  </w:style>
  <w:style w:type="paragraph" w:styleId="Commentaire">
    <w:name w:val="annotation text"/>
    <w:basedOn w:val="Normal"/>
    <w:link w:val="CommentaireCar"/>
    <w:uiPriority w:val="99"/>
    <w:unhideWhenUsed/>
    <w:rsid w:val="000660E6"/>
    <w:pPr>
      <w:spacing w:line="240" w:lineRule="auto"/>
    </w:pPr>
    <w:rPr>
      <w:sz w:val="20"/>
      <w:szCs w:val="20"/>
    </w:rPr>
  </w:style>
  <w:style w:type="character" w:customStyle="1" w:styleId="CommentaireCar">
    <w:name w:val="Commentaire Car"/>
    <w:basedOn w:val="Policepardfaut"/>
    <w:link w:val="Commentaire"/>
    <w:uiPriority w:val="99"/>
    <w:rsid w:val="000660E6"/>
    <w:rPr>
      <w:sz w:val="20"/>
      <w:szCs w:val="20"/>
    </w:rPr>
  </w:style>
  <w:style w:type="paragraph" w:styleId="En-tte">
    <w:name w:val="header"/>
    <w:basedOn w:val="Normal"/>
    <w:link w:val="En-tteCar"/>
    <w:uiPriority w:val="99"/>
    <w:unhideWhenUsed/>
    <w:rsid w:val="00F3083D"/>
    <w:pPr>
      <w:tabs>
        <w:tab w:val="center" w:pos="4320"/>
        <w:tab w:val="right" w:pos="8640"/>
      </w:tabs>
      <w:spacing w:after="0" w:line="240" w:lineRule="auto"/>
    </w:pPr>
  </w:style>
  <w:style w:type="character" w:customStyle="1" w:styleId="En-tteCar">
    <w:name w:val="En-tête Car"/>
    <w:basedOn w:val="Policepardfaut"/>
    <w:link w:val="En-tte"/>
    <w:uiPriority w:val="99"/>
    <w:rsid w:val="00F3083D"/>
  </w:style>
  <w:style w:type="paragraph" w:styleId="Pieddepage">
    <w:name w:val="footer"/>
    <w:basedOn w:val="Normal"/>
    <w:link w:val="PieddepageCar"/>
    <w:uiPriority w:val="99"/>
    <w:unhideWhenUsed/>
    <w:rsid w:val="00F3083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3083D"/>
  </w:style>
  <w:style w:type="paragraph" w:styleId="Sansinterligne">
    <w:name w:val="No Spacing"/>
    <w:uiPriority w:val="1"/>
    <w:qFormat/>
    <w:rsid w:val="007024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ss.gouv.qc.ca/professionnels/zoonoses/maladie-lyme/tableau-des-cas-humains-bilan/" TargetMode="External"/><Relationship Id="rId13" Type="http://schemas.openxmlformats.org/officeDocument/2006/relationships/hyperlink" Target="https://cisss-outaouais.gouv.qc.ca/maladie-de-lyme-en-outaouais-travailleurs-de-la-sante/" TargetMode="External"/><Relationship Id="rId18" Type="http://schemas.openxmlformats.org/officeDocument/2006/relationships/hyperlink" Target="https://www.inesss.qc.ca/publications/repertoire-des-publications/publication/maladie-de-lyme.html" TargetMode="External"/><Relationship Id="rId26" Type="http://schemas.openxmlformats.org/officeDocument/2006/relationships/hyperlink" Target="https://www.inspq.qc.ca/sites/default/files/publications/2257_plan_analyse_surveillance_lyme.pdf" TargetMode="External"/><Relationship Id="rId3" Type="http://schemas.openxmlformats.org/officeDocument/2006/relationships/settings" Target="settings.xml"/><Relationship Id="rId21" Type="http://schemas.openxmlformats.org/officeDocument/2006/relationships/hyperlink" Target="https://can01.safelinks.protection.outlook.com/?url=https%3A%2F%2Fwww.inspq.qc.ca%2Fzoonoses%2Ftiques%2Fsurveillance%2F2023&amp;data=05%7C02%7Cresponsable.acces%40msss.gouv.qc.ca%7C41efc4bd7715470aaa9408de18bab395%7C06e1fe285f8b4075bf6cae24be1a7992%7C0%7C0%7C638975387344010810%7CUnknown%7CTWFpbGZsb3d8eyJFbXB0eU1hcGkiOnRydWUsIlYiOiIwLjAuMDAwMCIsIlAiOiJXaW4zMiIsIkFOIjoiTWFpbCIsIldUIjoyfQ%3D%3D%7C0%7C%7C%7C&amp;sdata=AonMuNfyoHJR9dBvj7ys3tX4vj5tSji9ZVUnUfnFqgU%3D&amp;reserved=0" TargetMode="External"/><Relationship Id="rId34" Type="http://schemas.openxmlformats.org/officeDocument/2006/relationships/theme" Target="theme/theme1.xml"/><Relationship Id="rId7" Type="http://schemas.openxmlformats.org/officeDocument/2006/relationships/hyperlink" Target="https://www.msss.gouv.qc.ca/professionnels/zoonoses/maladie-lyme/tableau-des-cas-humains-lyme-archives/" TargetMode="External"/><Relationship Id="rId12" Type="http://schemas.openxmlformats.org/officeDocument/2006/relationships/hyperlink" Target="https://www.inspq.qc.ca/zoonoses/tiques/surveillance/2023" TargetMode="External"/><Relationship Id="rId17" Type="http://schemas.openxmlformats.org/officeDocument/2006/relationships/hyperlink" Target="https://can01.safelinks.protection.outlook.com/?url=https%3A%2F%2Fwww.inesss.qc.ca%2Ffileadmin%2Fdoc%2FINESSS%2FRapports%2FBiologie_medicale%2FLyme_Diag-traitement%2FOutil_diagnostic.pdf&amp;data=05%7C02%7Cresponsable.acces%40msss.gouv.qc.ca%7C41efc4bd7715470aaa9408de18bab395%7C06e1fe285f8b4075bf6cae24be1a7992%7C0%7C0%7C638975387343992437%7CUnknown%7CTWFpbGZsb3d8eyJFbXB0eU1hcGkiOnRydWUsIlYiOiIwLjAuMDAwMCIsIlAiOiJXaW4zMiIsIkFOIjoiTWFpbCIsIldUIjoyfQ%3D%3D%7C0%7C%7C%7C&amp;sdata=6zW7dmDh078Q7W6g3xGAcosr6w8WhZN%2Fa4Uy%2BqOqDPg%3D&amp;reserved=0" TargetMode="External"/><Relationship Id="rId25" Type="http://schemas.openxmlformats.org/officeDocument/2006/relationships/hyperlink" Target="https://www.bibliotheque.assnat.qc.ca/DepotNumerique_v2/AffichageFichier.aspx?idf=18948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sss.gouv.qc.ca/professionnels/zoonoses/maladie-lyme/diagnostic/" TargetMode="External"/><Relationship Id="rId20" Type="http://schemas.openxmlformats.org/officeDocument/2006/relationships/hyperlink" Target="https://can01.safelinks.protection.outlook.com/?url=https%3A%2F%2Fwww.inspq.qc.ca%2Fzoonoses%2Ftiques%2Fsurveillance%2F2023&amp;data=05%7C02%7Cresponsable.acces%40msss.gouv.qc.ca%7Cbbbd873adb754907433b08de32ac2ad7%7C06e1fe285f8b4075bf6cae24be1a7992%7C0%7C0%7C639003912203756274%7CUnknown%7CTWFpbGZsb3d8eyJFbXB0eU1hcGkiOnRydWUsIlYiOiIwLjAuMDAwMCIsIlAiOiJXaW4zMiIsIkFOIjoiTWFpbCIsIldUIjoyfQ%3D%3D%7C0%7C%7C%7C&amp;sdata=6R3nKBuy%2F4T7H8xAXqCUOH37Z%2FfuEkOyROAw3OLMFRo%3D&amp;reserved=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pq.qc.ca/zoonoses/tiques/surveillance/2023" TargetMode="External"/><Relationship Id="rId24" Type="http://schemas.openxmlformats.org/officeDocument/2006/relationships/hyperlink" Target="https://publications.msss.gouv.qc.ca/msss/fichiers/2022/22-271-09W.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an01.safelinks.protection.outlook.com/?url=https%3A%2F%2Fwww.inesss.qc.ca%2Ffileadmin%2Fdoc%2FINESSS%2FRapports%2FBiologie_medicale%2FLyme_Diag-traitement%2FLyme_Feuille-de-suivi.pdf&amp;data=05%7C02%7Cresponsable.acces%40msss.gouv.qc.ca%7C41efc4bd7715470aaa9408de18bab395%7C06e1fe285f8b4075bf6cae24be1a7992%7C0%7C0%7C638975387343966223%7CUnknown%7CTWFpbGZsb3d8eyJFbXB0eU1hcGkiOnRydWUsIlYiOiIwLjAuMDAwMCIsIlAiOiJXaW4zMiIsIkFOIjoiTWFpbCIsIldUIjoyfQ%3D%3D%7C0%7C%7C%7C&amp;sdata=8F3mKSr3nRRIChHvL50deYb6kj6N9WphPWtiEjG4cug%3D&amp;reserved=0" TargetMode="External"/><Relationship Id="rId23" Type="http://schemas.openxmlformats.org/officeDocument/2006/relationships/hyperlink" Target="https://can01.safelinks.protection.outlook.com/?url=https%3A%2F%2Fwww.inspq.qc.ca%2Fsites%2Fdefault%2Ffiles%2F2025-06%2FCarte_pdf_Lyme_INSPQ_MAJjuin2025_vf_20250610.pdf&amp;data=05%7C02%7Cresponsable.acces%40msss.gouv.qc.ca%7C41efc4bd7715470aaa9408de18bab395%7C06e1fe285f8b4075bf6cae24be1a7992%7C0%7C0%7C638975387344044176%7CUnknown%7CTWFpbGZsb3d8eyJFbXB0eU1hcGkiOnRydWUsIlYiOiIwLjAuMDAwMCIsIlAiOiJXaW4zMiIsIkFOIjoiTWFpbCIsIldUIjoyfQ%3D%3D%7C0%7C%7C%7C&amp;sdata=2Mdm4SB47XjZXO%2FtYwduUaYMEBBGDQbY0uPdYHeuzKY%3D&amp;reserved=0" TargetMode="External"/><Relationship Id="rId28" Type="http://schemas.openxmlformats.org/officeDocument/2006/relationships/header" Target="header2.xml"/><Relationship Id="rId10" Type="http://schemas.openxmlformats.org/officeDocument/2006/relationships/hyperlink" Target="https://www.inspq.qc.ca/zoonoses/maladie-de-lyme/resultats-de-surveillance" TargetMode="External"/><Relationship Id="rId19" Type="http://schemas.openxmlformats.org/officeDocument/2006/relationships/hyperlink" Target="https://can01.safelinks.protection.outlook.com/?url=https%3A%2F%2Fwww.quebec.ca%2Fsante%2Fsysteme-et-services-de-sante%2Forganisation-des-services%2Fdonnees-systeme-sante-quebecois-services%2Fdonnees-population-territoire-sociosanitaire&amp;data=05%7C02%7Cresponsable.acces%40msss.gouv.qc.ca%7Cbbbd873adb754907433b08de32ac2ad7%7C06e1fe285f8b4075bf6cae24be1a7992%7C0%7C0%7C639003912203720434%7CUnknown%7CTWFpbGZsb3d8eyJFbXB0eU1hcGkiOnRydWUsIlYiOiIwLjAuMDAwMCIsIlAiOiJXaW4zMiIsIkFOIjoiTWFpbCIsIldUIjoyfQ%3D%3D%7C0%7C%7C%7C&amp;sdata=G9rotinpdqrw8l8V9j%2F%2BZy%2BFoohft2VaX8YOjmAjpvQ%3D&amp;reserved=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sss.gouv.qc.ca/professionnels/zoonoses/maladie-lyme/surveillance-de-la-maladie/" TargetMode="External"/><Relationship Id="rId14" Type="http://schemas.openxmlformats.org/officeDocument/2006/relationships/hyperlink" Target="https://can01.safelinks.protection.outlook.com/?url=https%3A%2F%2Fwww.inspq.qc.ca%2Fsites%2Fdefault%2Ffiles%2Fpublications%2F2844-portrait-maladie-lyme-2006-2019.pdf%3F_gl%3D1*2d5wjq*_up*MQ..*_ga*MTczNDM3OTgxNC4xNzYxMjMyNTE5*_ga_V5EL6F3WVC*czE3NjEyMzI1MTkkbzEkZzAkdDE3NjEyMzI1MTkkajYwJGwwJGgw&amp;data=05%7C02%7Cresponsable.acces%40msss.gouv.qc.ca%7C41efc4bd7715470aaa9408de18bab395%7C06e1fe285f8b4075bf6cae24be1a7992%7C0%7C0%7C638975387343928683%7CUnknown%7CTWFpbGZsb3d8eyJFbXB0eU1hcGkiOnRydWUsIlYiOiIwLjAuMDAwMCIsIlAiOiJXaW4zMiIsIkFOIjoiTWFpbCIsIldUIjoyfQ%3D%3D%7C0%7C%7C%7C&amp;sdata=MaZDv3wb%2Fsr3LFJyE7nAhpCIT4pyTP9A55xCvTO%2FjSc%3D&amp;reserved=0" TargetMode="External"/><Relationship Id="rId22" Type="http://schemas.openxmlformats.org/officeDocument/2006/relationships/hyperlink" Target="https://can01.safelinks.protection.outlook.com/?url=https%3A%2F%2Fwww.inspq.qc.ca%2Fsites%2Fdefault%2Ffiles%2F2024-06%2F3499-elargissement-zone-endemique-maladie-Lyme.pdf&amp;data=05%7C02%7Cresponsable.acces%40msss.gouv.qc.ca%7C41efc4bd7715470aaa9408de18bab395%7C06e1fe285f8b4075bf6cae24be1a7992%7C0%7C0%7C638975387344027405%7CUnknown%7CTWFpbGZsb3d8eyJFbXB0eU1hcGkiOnRydWUsIlYiOiIwLjAuMDAwMCIsIlAiOiJXaW4zMiIsIkFOIjoiTWFpbCIsIldUIjoyfQ%3D%3D%7C0%7C%7C%7C&amp;sdata=rNi3G%2BZ0lvZ%2BDQS6LFp8dX3paosjNCAk5uwHERcPxNY%3D&amp;reserved=0"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2069</Words>
  <Characters>10904</Characters>
  <Application>Microsoft Office Word</Application>
  <DocSecurity>0</DocSecurity>
  <Lines>320</Lines>
  <Paragraphs>164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Larivière</dc:creator>
  <cp:keywords/>
  <dc:description/>
  <cp:lastModifiedBy>Annie Larivière</cp:lastModifiedBy>
  <cp:revision>17</cp:revision>
  <dcterms:created xsi:type="dcterms:W3CDTF">2025-11-10T20:20:00Z</dcterms:created>
  <dcterms:modified xsi:type="dcterms:W3CDTF">2026-04-07T20:13:00Z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2025-11-10T20:21:39Z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3ac402ac-4060-4a00-8cd1-979706ddbe9d</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