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A755" w14:textId="4997FC53" w:rsidR="00396175" w:rsidRDefault="00424D13" w:rsidP="00396175">
      <w:pPr>
        <w:spacing w:after="0"/>
        <w:jc w:val="right"/>
        <w:rPr>
          <w:rFonts w:ascii="Arial" w:hAnsi="Arial" w:cs="Arial"/>
          <w:b/>
          <w:color w:val="A6A6A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4FE0522D" wp14:editId="632CE497">
            <wp:simplePos x="0" y="0"/>
            <wp:positionH relativeFrom="column">
              <wp:posOffset>0</wp:posOffset>
            </wp:positionH>
            <wp:positionV relativeFrom="paragraph">
              <wp:posOffset>-111286</wp:posOffset>
            </wp:positionV>
            <wp:extent cx="1755140" cy="904875"/>
            <wp:effectExtent l="0" t="0" r="0" b="9525"/>
            <wp:wrapNone/>
            <wp:docPr id="7" name="Image 7" descr="Une image contenant texte, Police, capture d’écran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Police, capture d’écran, blanc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F52"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3D94A818" wp14:editId="66B7DDD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08990" cy="1079500"/>
            <wp:effectExtent l="0" t="0" r="0" b="6350"/>
            <wp:wrapThrough wrapText="bothSides">
              <wp:wrapPolygon edited="0">
                <wp:start x="6612" y="0"/>
                <wp:lineTo x="0" y="4955"/>
                <wp:lineTo x="0" y="21346"/>
                <wp:lineTo x="20854" y="21346"/>
                <wp:lineTo x="20854" y="0"/>
                <wp:lineTo x="6612" y="0"/>
              </wp:wrapPolygon>
            </wp:wrapThrough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airesHorizont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4A756" w14:textId="77777777" w:rsidR="009E4F52" w:rsidRDefault="009E4F52" w:rsidP="00F049B7">
      <w:pPr>
        <w:ind w:left="4820"/>
        <w:jc w:val="right"/>
        <w:rPr>
          <w:rFonts w:ascii="Arial" w:hAnsi="Arial" w:cs="Arial"/>
          <w:b/>
          <w:color w:val="413C3D"/>
          <w:sz w:val="32"/>
          <w:szCs w:val="36"/>
        </w:rPr>
      </w:pPr>
    </w:p>
    <w:p w14:paraId="3D94A757" w14:textId="77777777" w:rsidR="009E4F52" w:rsidRDefault="009E4F52" w:rsidP="00F049B7">
      <w:pPr>
        <w:ind w:left="4820"/>
        <w:jc w:val="right"/>
        <w:rPr>
          <w:rFonts w:ascii="Arial" w:hAnsi="Arial" w:cs="Arial"/>
          <w:b/>
          <w:color w:val="413C3D"/>
          <w:sz w:val="32"/>
          <w:szCs w:val="36"/>
        </w:rPr>
      </w:pPr>
    </w:p>
    <w:p w14:paraId="3D94A758" w14:textId="77777777" w:rsidR="009E4F52" w:rsidRDefault="009E4F52" w:rsidP="00F049B7">
      <w:pPr>
        <w:ind w:left="4820"/>
        <w:jc w:val="right"/>
        <w:rPr>
          <w:rFonts w:ascii="Arial" w:hAnsi="Arial" w:cs="Arial"/>
          <w:b/>
          <w:color w:val="413C3D"/>
          <w:sz w:val="32"/>
          <w:szCs w:val="36"/>
        </w:rPr>
      </w:pPr>
    </w:p>
    <w:p w14:paraId="3D94A759" w14:textId="77777777" w:rsidR="00F049B7" w:rsidRPr="00607424" w:rsidRDefault="009E4F52" w:rsidP="00F049B7">
      <w:pPr>
        <w:ind w:left="4820"/>
        <w:jc w:val="right"/>
        <w:rPr>
          <w:rFonts w:ascii="Arial" w:hAnsi="Arial" w:cs="Arial"/>
          <w:b/>
          <w:sz w:val="32"/>
          <w:szCs w:val="36"/>
        </w:rPr>
      </w:pPr>
      <w:r w:rsidRPr="00607424">
        <w:rPr>
          <w:rFonts w:ascii="Arial" w:hAnsi="Arial" w:cs="Arial"/>
          <w:b/>
          <w:sz w:val="32"/>
          <w:szCs w:val="36"/>
        </w:rPr>
        <w:t>ÉCOP</w:t>
      </w:r>
      <w:r w:rsidR="00F049B7" w:rsidRPr="00607424">
        <w:rPr>
          <w:rFonts w:ascii="Arial" w:hAnsi="Arial" w:cs="Arial"/>
          <w:b/>
          <w:sz w:val="32"/>
          <w:szCs w:val="36"/>
        </w:rPr>
        <w:t>ERFORMANCE</w:t>
      </w:r>
    </w:p>
    <w:p w14:paraId="3D94A75A" w14:textId="5244AFE1" w:rsidR="00F049B7" w:rsidRPr="00607424" w:rsidRDefault="00F049B7" w:rsidP="00F049B7">
      <w:pPr>
        <w:ind w:left="4820"/>
        <w:jc w:val="right"/>
        <w:rPr>
          <w:rFonts w:ascii="Arial" w:hAnsi="Arial" w:cs="Arial"/>
          <w:b/>
          <w:sz w:val="32"/>
          <w:szCs w:val="36"/>
        </w:rPr>
      </w:pPr>
      <w:r w:rsidRPr="00607424">
        <w:rPr>
          <w:rFonts w:ascii="Arial" w:hAnsi="Arial" w:cs="Arial"/>
          <w:b/>
          <w:sz w:val="32"/>
          <w:szCs w:val="36"/>
        </w:rPr>
        <w:t>PROJETS DE REMISE AU POINT DE</w:t>
      </w:r>
      <w:r w:rsidR="009E4F52" w:rsidRPr="00607424">
        <w:rPr>
          <w:rFonts w:ascii="Arial" w:hAnsi="Arial" w:cs="Arial"/>
          <w:b/>
          <w:sz w:val="32"/>
          <w:szCs w:val="36"/>
        </w:rPr>
        <w:t>S</w:t>
      </w:r>
      <w:r w:rsidR="00424D13">
        <w:rPr>
          <w:rFonts w:ascii="Arial" w:hAnsi="Arial" w:cs="Arial"/>
          <w:b/>
          <w:sz w:val="32"/>
          <w:szCs w:val="36"/>
        </w:rPr>
        <w:t> </w:t>
      </w:r>
      <w:r w:rsidRPr="00607424">
        <w:rPr>
          <w:rFonts w:ascii="Arial" w:hAnsi="Arial" w:cs="Arial"/>
          <w:b/>
          <w:sz w:val="32"/>
          <w:szCs w:val="36"/>
        </w:rPr>
        <w:t>SYSTÈMES MÉCANIQUES DE</w:t>
      </w:r>
      <w:r w:rsidR="00E3649E">
        <w:rPr>
          <w:rFonts w:ascii="Arial" w:hAnsi="Arial" w:cs="Arial"/>
          <w:b/>
          <w:sz w:val="32"/>
          <w:szCs w:val="36"/>
        </w:rPr>
        <w:t>S</w:t>
      </w:r>
      <w:r w:rsidR="00424D13">
        <w:rPr>
          <w:rFonts w:ascii="Arial" w:hAnsi="Arial" w:cs="Arial"/>
          <w:b/>
          <w:sz w:val="32"/>
          <w:szCs w:val="36"/>
        </w:rPr>
        <w:t> </w:t>
      </w:r>
      <w:r w:rsidRPr="00607424">
        <w:rPr>
          <w:rFonts w:ascii="Arial" w:hAnsi="Arial" w:cs="Arial"/>
          <w:b/>
          <w:sz w:val="32"/>
          <w:szCs w:val="36"/>
        </w:rPr>
        <w:t>BÂTIMENTS</w:t>
      </w:r>
    </w:p>
    <w:p w14:paraId="3D94A75B" w14:textId="77777777" w:rsidR="00396175" w:rsidRPr="00607424" w:rsidRDefault="00396175" w:rsidP="00396175">
      <w:pPr>
        <w:tabs>
          <w:tab w:val="left" w:pos="5529"/>
        </w:tabs>
        <w:ind w:left="5529"/>
        <w:rPr>
          <w:rFonts w:ascii="Arial" w:hAnsi="Arial" w:cs="Arial"/>
          <w:b/>
          <w:sz w:val="36"/>
          <w:szCs w:val="36"/>
        </w:rPr>
      </w:pPr>
    </w:p>
    <w:p w14:paraId="3D94A75C" w14:textId="77777777" w:rsidR="00396175" w:rsidRPr="00607424" w:rsidRDefault="00396175" w:rsidP="00396175">
      <w:pPr>
        <w:tabs>
          <w:tab w:val="left" w:pos="5529"/>
        </w:tabs>
        <w:spacing w:after="0"/>
        <w:ind w:left="5529"/>
        <w:rPr>
          <w:rFonts w:ascii="Arial" w:hAnsi="Arial" w:cs="Arial"/>
          <w:b/>
          <w:sz w:val="36"/>
          <w:szCs w:val="36"/>
        </w:rPr>
      </w:pPr>
    </w:p>
    <w:p w14:paraId="3D94A75D" w14:textId="77777777" w:rsidR="00F049B7" w:rsidRPr="00607424" w:rsidRDefault="00F049B7" w:rsidP="00F049B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607424">
        <w:rPr>
          <w:rFonts w:ascii="Arial" w:hAnsi="Arial" w:cs="Arial"/>
          <w:b/>
          <w:sz w:val="36"/>
          <w:szCs w:val="36"/>
        </w:rPr>
        <w:t>RAPPORT D’ANALYSE</w:t>
      </w:r>
    </w:p>
    <w:p w14:paraId="3D94A75E" w14:textId="77777777" w:rsidR="00F049B7" w:rsidRPr="00607424" w:rsidRDefault="00CA159D" w:rsidP="00F049B7">
      <w:pPr>
        <w:jc w:val="center"/>
        <w:rPr>
          <w:rFonts w:ascii="Arial" w:hAnsi="Arial" w:cs="Arial"/>
          <w:szCs w:val="24"/>
        </w:rPr>
      </w:pPr>
      <w:r w:rsidRPr="00607424">
        <w:rPr>
          <w:rFonts w:ascii="Arial" w:hAnsi="Arial" w:cs="Arial"/>
          <w:sz w:val="36"/>
          <w:szCs w:val="36"/>
        </w:rPr>
        <w:t>Investigation</w:t>
      </w:r>
    </w:p>
    <w:p w14:paraId="3D94A75F" w14:textId="77777777" w:rsidR="00254521" w:rsidRPr="00C00F1C" w:rsidRDefault="00254521" w:rsidP="00254521">
      <w:pPr>
        <w:jc w:val="right"/>
        <w:rPr>
          <w:rFonts w:ascii="Arial" w:hAnsi="Arial" w:cs="Arial"/>
          <w:color w:val="A6A6A6"/>
        </w:rPr>
      </w:pPr>
    </w:p>
    <w:tbl>
      <w:tblPr>
        <w:tblW w:w="1056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8095"/>
      </w:tblGrid>
      <w:tr w:rsidR="007F16EA" w:rsidRPr="00C00F1C" w14:paraId="3D94A762" w14:textId="77777777" w:rsidTr="007F16EA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3D94A760" w14:textId="4CAFE1C3" w:rsidR="007F16EA" w:rsidRPr="00C00F1C" w:rsidRDefault="00A10816" w:rsidP="00C51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</w:t>
            </w:r>
            <w:r w:rsidR="007F16EA" w:rsidRPr="00C00F1C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3D94A761" w14:textId="77777777" w:rsidR="007F16EA" w:rsidRPr="00C00F1C" w:rsidRDefault="007F16EA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0D" w:rsidRPr="00C00F1C" w14:paraId="3D94A765" w14:textId="77777777" w:rsidTr="007F16EA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3D94A763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>Numéro de dossier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3D94A764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0D" w:rsidRPr="00C00F1C" w14:paraId="3D94A768" w14:textId="77777777" w:rsidTr="007F16EA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3D94A766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>Titre du projet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3D94A767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0D" w:rsidRPr="00C00F1C" w14:paraId="3D94A76B" w14:textId="77777777" w:rsidTr="007F16EA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3D94A769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>Site du projet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3D94A76A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94A76C" w14:textId="77777777" w:rsidR="00623F0D" w:rsidRPr="00C00F1C" w:rsidRDefault="00623F0D" w:rsidP="00623F0D">
      <w:pPr>
        <w:rPr>
          <w:rFonts w:ascii="Arial" w:hAnsi="Arial" w:cs="Arial"/>
          <w:color w:val="A6A6A6"/>
          <w:sz w:val="20"/>
          <w:szCs w:val="20"/>
        </w:rPr>
      </w:pPr>
    </w:p>
    <w:p w14:paraId="3D94A76D" w14:textId="77777777" w:rsidR="00623F0D" w:rsidRPr="00C00F1C" w:rsidRDefault="00623F0D" w:rsidP="00254521">
      <w:pPr>
        <w:jc w:val="right"/>
        <w:rPr>
          <w:rFonts w:ascii="Arial" w:hAnsi="Arial" w:cs="Arial"/>
          <w:color w:val="A6A6A6"/>
          <w:sz w:val="20"/>
          <w:szCs w:val="20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434"/>
        <w:gridCol w:w="3898"/>
        <w:gridCol w:w="364"/>
        <w:gridCol w:w="4390"/>
        <w:gridCol w:w="476"/>
      </w:tblGrid>
      <w:tr w:rsidR="00623F0D" w:rsidRPr="00C00F1C" w14:paraId="3D94A773" w14:textId="77777777" w:rsidTr="0016754C">
        <w:trPr>
          <w:trHeight w:val="73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4A76E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>Rédigé par :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A76F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94A770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4A771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94A772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0D" w:rsidRPr="00C00F1C" w14:paraId="3D94A779" w14:textId="77777777" w:rsidTr="0016754C">
        <w:trPr>
          <w:trHeight w:val="73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4A774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>Date :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A775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94A776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4A777" w14:textId="77777777" w:rsidR="00623F0D" w:rsidRPr="00C00F1C" w:rsidRDefault="00623F0D" w:rsidP="0016754C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="0016754C">
              <w:rPr>
                <w:rFonts w:ascii="Arial" w:hAnsi="Arial" w:cs="Arial"/>
                <w:sz w:val="20"/>
                <w:szCs w:val="20"/>
              </w:rPr>
              <w:t>du rédacteur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94A778" w14:textId="77777777" w:rsidR="00623F0D" w:rsidRPr="00C00F1C" w:rsidRDefault="00623F0D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54C" w:rsidRPr="00C00F1C" w14:paraId="3D94A77E" w14:textId="77777777" w:rsidTr="0016754C">
        <w:trPr>
          <w:trHeight w:val="735"/>
        </w:trPr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A77A" w14:textId="75621C5B" w:rsidR="0016754C" w:rsidRPr="00C00F1C" w:rsidRDefault="0016754C" w:rsidP="001675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l’agent accrédité en remise au point des systèmes mécaniques de</w:t>
            </w:r>
            <w:r w:rsidR="00E3649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bâtiments :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94A77B" w14:textId="77777777" w:rsidR="0016754C" w:rsidRPr="00C00F1C" w:rsidRDefault="0016754C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4A77C" w14:textId="77777777" w:rsidR="0016754C" w:rsidRPr="00C00F1C" w:rsidRDefault="0016754C" w:rsidP="001675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A77D" w14:textId="77777777" w:rsidR="0016754C" w:rsidRPr="00C00F1C" w:rsidRDefault="0016754C" w:rsidP="00C51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94A77F" w14:textId="77777777" w:rsidR="008B190F" w:rsidRDefault="008B190F" w:rsidP="008B190F">
      <w:pPr>
        <w:spacing w:after="0" w:line="240" w:lineRule="auto"/>
        <w:rPr>
          <w:rFonts w:ascii="Arial" w:hAnsi="Arial" w:cs="Arial"/>
        </w:rPr>
        <w:sectPr w:rsidR="008B190F" w:rsidSect="00A71D4C">
          <w:footerReference w:type="default" r:id="rId12"/>
          <w:footerReference w:type="first" r:id="rId13"/>
          <w:pgSz w:w="12240" w:h="15840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D94A780" w14:textId="77777777" w:rsidR="00BE76C7" w:rsidRDefault="00BE76C7" w:rsidP="00164609">
      <w:pPr>
        <w:spacing w:after="0" w:line="240" w:lineRule="auto"/>
        <w:jc w:val="both"/>
        <w:rPr>
          <w:rFonts w:ascii="Arial" w:hAnsi="Arial" w:cs="Arial"/>
          <w:b/>
        </w:rPr>
      </w:pPr>
    </w:p>
    <w:p w14:paraId="3D94A781" w14:textId="77777777" w:rsidR="00607424" w:rsidRPr="00607424" w:rsidRDefault="00607424" w:rsidP="00607424">
      <w:pPr>
        <w:rPr>
          <w:rFonts w:ascii="Arial" w:hAnsi="Arial" w:cs="Arial"/>
        </w:rPr>
      </w:pPr>
    </w:p>
    <w:p w14:paraId="3D94A782" w14:textId="77777777" w:rsidR="00607424" w:rsidRPr="00607424" w:rsidRDefault="00607424" w:rsidP="00607424">
      <w:pPr>
        <w:rPr>
          <w:rFonts w:ascii="Arial" w:hAnsi="Arial" w:cs="Arial"/>
        </w:rPr>
      </w:pPr>
    </w:p>
    <w:p w14:paraId="3D94A783" w14:textId="77777777" w:rsidR="00607424" w:rsidRDefault="00607424" w:rsidP="00607424">
      <w:pPr>
        <w:rPr>
          <w:rFonts w:ascii="Arial" w:hAnsi="Arial" w:cs="Arial"/>
          <w:b/>
        </w:rPr>
      </w:pPr>
    </w:p>
    <w:p w14:paraId="3D94A784" w14:textId="77777777" w:rsidR="00607424" w:rsidRDefault="00607424" w:rsidP="00607424">
      <w:pPr>
        <w:rPr>
          <w:rFonts w:ascii="Arial" w:hAnsi="Arial" w:cs="Arial"/>
          <w:b/>
        </w:rPr>
      </w:pPr>
    </w:p>
    <w:p w14:paraId="3D94A785" w14:textId="77777777" w:rsidR="00607424" w:rsidRDefault="00607424" w:rsidP="00607424">
      <w:pPr>
        <w:rPr>
          <w:rFonts w:ascii="Arial" w:hAnsi="Arial" w:cs="Arial"/>
          <w:b/>
        </w:rPr>
      </w:pPr>
    </w:p>
    <w:p w14:paraId="3D94A786" w14:textId="77777777" w:rsidR="00607424" w:rsidRPr="00607424" w:rsidRDefault="00607424" w:rsidP="00607424">
      <w:pPr>
        <w:rPr>
          <w:rFonts w:ascii="Arial" w:hAnsi="Arial" w:cs="Arial"/>
        </w:rPr>
        <w:sectPr w:rsidR="00607424" w:rsidRPr="00607424" w:rsidSect="00856DFE"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06" w:footer="706" w:gutter="0"/>
          <w:cols w:space="708"/>
          <w:titlePg/>
          <w:docGrid w:linePitch="360"/>
        </w:sectPr>
      </w:pPr>
    </w:p>
    <w:p w14:paraId="3D94A787" w14:textId="77777777" w:rsidR="00164609" w:rsidRPr="009E4F52" w:rsidRDefault="00621A56" w:rsidP="009E4F52">
      <w:pPr>
        <w:jc w:val="both"/>
        <w:rPr>
          <w:rFonts w:ascii="Arial" w:hAnsi="Arial" w:cs="Arial"/>
          <w:b/>
        </w:rPr>
      </w:pPr>
      <w:r w:rsidRPr="009E4F52">
        <w:rPr>
          <w:rFonts w:ascii="Arial" w:hAnsi="Arial" w:cs="Arial"/>
          <w:b/>
        </w:rPr>
        <w:lastRenderedPageBreak/>
        <w:t>Comment préparer ce document</w:t>
      </w:r>
    </w:p>
    <w:p w14:paraId="3D94A788" w14:textId="34E0A8D9" w:rsidR="00396175" w:rsidRPr="009E4F52" w:rsidRDefault="009E4F52" w:rsidP="009E4F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8F1A4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inistère de </w:t>
      </w:r>
      <w:r w:rsidR="00B716D0" w:rsidRPr="00B716D0">
        <w:rPr>
          <w:rFonts w:ascii="Arial" w:hAnsi="Arial" w:cs="Arial"/>
        </w:rPr>
        <w:t>l’Environnement, de la Lutte contre les changements climatiques, de la Faune</w:t>
      </w:r>
      <w:r>
        <w:rPr>
          <w:rFonts w:ascii="Arial" w:hAnsi="Arial" w:cs="Arial"/>
        </w:rPr>
        <w:t xml:space="preserve"> et des </w:t>
      </w:r>
      <w:r w:rsidR="00B716D0" w:rsidRPr="00B716D0">
        <w:rPr>
          <w:rFonts w:ascii="Arial" w:hAnsi="Arial" w:cs="Arial"/>
        </w:rPr>
        <w:t>Parcs</w:t>
      </w:r>
      <w:r>
        <w:rPr>
          <w:rFonts w:ascii="Arial" w:hAnsi="Arial" w:cs="Arial"/>
        </w:rPr>
        <w:t xml:space="preserve"> (</w:t>
      </w:r>
      <w:r w:rsidR="00B716D0">
        <w:rPr>
          <w:rFonts w:ascii="Arial" w:hAnsi="Arial" w:cs="Arial"/>
        </w:rPr>
        <w:t>MELCCFP</w:t>
      </w:r>
      <w:r>
        <w:rPr>
          <w:rFonts w:ascii="Arial" w:hAnsi="Arial" w:cs="Arial"/>
        </w:rPr>
        <w:t xml:space="preserve">) </w:t>
      </w:r>
      <w:r w:rsidR="00621A56" w:rsidRPr="009E4F52">
        <w:rPr>
          <w:rFonts w:ascii="Arial" w:hAnsi="Arial" w:cs="Arial"/>
        </w:rPr>
        <w:t xml:space="preserve">met le présent </w:t>
      </w:r>
      <w:r w:rsidR="00396175" w:rsidRPr="009E4F52">
        <w:rPr>
          <w:rFonts w:ascii="Arial" w:hAnsi="Arial" w:cs="Arial"/>
        </w:rPr>
        <w:t>gabarit</w:t>
      </w:r>
      <w:r w:rsidR="00621A56" w:rsidRPr="009E4F52">
        <w:rPr>
          <w:rFonts w:ascii="Arial" w:hAnsi="Arial" w:cs="Arial"/>
        </w:rPr>
        <w:t xml:space="preserve"> à votre disposition pour assurer une certaine uniformité dans la préparation des documents que les </w:t>
      </w:r>
      <w:r w:rsidR="007D42FB">
        <w:rPr>
          <w:rFonts w:ascii="Arial" w:hAnsi="Arial" w:cs="Arial"/>
        </w:rPr>
        <w:t>participants</w:t>
      </w:r>
      <w:r w:rsidR="00621A56" w:rsidRPr="009E4F52">
        <w:rPr>
          <w:rFonts w:ascii="Arial" w:hAnsi="Arial" w:cs="Arial"/>
        </w:rPr>
        <w:t xml:space="preserve"> doivent produire. Une fois rempli, ce document constituera </w:t>
      </w:r>
      <w:r w:rsidR="00B948FC" w:rsidRPr="009E4F52">
        <w:rPr>
          <w:rFonts w:ascii="Arial" w:hAnsi="Arial" w:cs="Arial"/>
        </w:rPr>
        <w:t>la première section du rapport d</w:t>
      </w:r>
      <w:r w:rsidR="0016754C" w:rsidRPr="009E4F52">
        <w:rPr>
          <w:rFonts w:ascii="Arial" w:hAnsi="Arial" w:cs="Arial"/>
        </w:rPr>
        <w:t xml:space="preserve">’analyse </w:t>
      </w:r>
      <w:r w:rsidR="00FF2CE1" w:rsidRPr="009E4F52">
        <w:rPr>
          <w:rFonts w:ascii="Arial" w:hAnsi="Arial" w:cs="Arial"/>
        </w:rPr>
        <w:t>ÉcoPerformance pour l</w:t>
      </w:r>
      <w:r w:rsidR="0016754C" w:rsidRPr="009E4F52">
        <w:rPr>
          <w:rFonts w:ascii="Arial" w:hAnsi="Arial" w:cs="Arial"/>
        </w:rPr>
        <w:t>es projets de remise au point des systèmes mécaniques de</w:t>
      </w:r>
      <w:r w:rsidR="00E3649E">
        <w:rPr>
          <w:rFonts w:ascii="Arial" w:hAnsi="Arial" w:cs="Arial"/>
        </w:rPr>
        <w:t>s</w:t>
      </w:r>
      <w:r w:rsidR="0016754C" w:rsidRPr="009E4F52">
        <w:rPr>
          <w:rFonts w:ascii="Arial" w:hAnsi="Arial" w:cs="Arial"/>
        </w:rPr>
        <w:t xml:space="preserve"> bâtiments</w:t>
      </w:r>
      <w:r w:rsidR="00B948FC" w:rsidRPr="009E4F52">
        <w:rPr>
          <w:rFonts w:ascii="Arial" w:hAnsi="Arial" w:cs="Arial"/>
        </w:rPr>
        <w:t>,</w:t>
      </w:r>
      <w:r w:rsidR="00A90F5A" w:rsidRPr="009E4F52">
        <w:rPr>
          <w:rFonts w:ascii="Arial" w:hAnsi="Arial" w:cs="Arial"/>
        </w:rPr>
        <w:t xml:space="preserve"> conforme</w:t>
      </w:r>
      <w:r w:rsidR="00621A56" w:rsidRPr="009E4F52">
        <w:rPr>
          <w:rFonts w:ascii="Arial" w:hAnsi="Arial" w:cs="Arial"/>
        </w:rPr>
        <w:t xml:space="preserve"> aux exigences du programme. </w:t>
      </w:r>
    </w:p>
    <w:p w14:paraId="3D94A789" w14:textId="64F1EBC7" w:rsidR="00396175" w:rsidRPr="009E4F52" w:rsidRDefault="00396175" w:rsidP="009E4F52">
      <w:pPr>
        <w:jc w:val="both"/>
        <w:rPr>
          <w:rFonts w:ascii="Arial" w:hAnsi="Arial" w:cs="Arial"/>
        </w:rPr>
      </w:pPr>
      <w:r w:rsidRPr="009E4F52">
        <w:rPr>
          <w:rFonts w:ascii="Arial" w:hAnsi="Arial" w:cs="Arial"/>
        </w:rPr>
        <w:t xml:space="preserve">Le gabarit est en format Word. Vous n’avez qu’à remplir chacune des sections, sans tenir compte du nombre de caractères utilisés. Si une section ne s’applique pas à votre projet, vous n’avez qu’à y inscrire la mention « sans objet ». </w:t>
      </w:r>
    </w:p>
    <w:p w14:paraId="3D94A78A" w14:textId="77777777" w:rsidR="00A90F5A" w:rsidRPr="009E4F52" w:rsidRDefault="00396175" w:rsidP="009E4F52">
      <w:pPr>
        <w:jc w:val="both"/>
        <w:rPr>
          <w:rFonts w:ascii="Arial" w:hAnsi="Arial" w:cs="Arial"/>
        </w:rPr>
      </w:pPr>
      <w:r w:rsidRPr="009E4F52">
        <w:rPr>
          <w:rFonts w:ascii="Arial" w:hAnsi="Arial" w:cs="Arial"/>
        </w:rPr>
        <w:t>Des instructions ont été ajoutées au début de certaines sections du gabarit afin d’en faciliter la compréhension. Ces instructions peuvent être retirées du document final.</w:t>
      </w:r>
    </w:p>
    <w:p w14:paraId="3D94A78B" w14:textId="0FF87472" w:rsidR="00164609" w:rsidRPr="009E4F52" w:rsidRDefault="00621A56" w:rsidP="009E4F52">
      <w:pPr>
        <w:rPr>
          <w:rFonts w:ascii="Arial" w:hAnsi="Arial" w:cs="Arial"/>
          <w:b/>
        </w:rPr>
      </w:pPr>
      <w:r w:rsidRPr="009E4F52">
        <w:rPr>
          <w:rFonts w:ascii="Arial" w:hAnsi="Arial" w:cs="Arial"/>
          <w:b/>
        </w:rPr>
        <w:t xml:space="preserve">Instructions au </w:t>
      </w:r>
      <w:r w:rsidR="00D40B40">
        <w:rPr>
          <w:rFonts w:ascii="Arial" w:hAnsi="Arial" w:cs="Arial"/>
          <w:b/>
        </w:rPr>
        <w:t>participant</w:t>
      </w:r>
    </w:p>
    <w:p w14:paraId="3D94A78C" w14:textId="63AFD28C" w:rsidR="00164609" w:rsidRPr="009E4F52" w:rsidRDefault="00621A56" w:rsidP="009E4F52">
      <w:pPr>
        <w:rPr>
          <w:rFonts w:ascii="Arial" w:hAnsi="Arial" w:cs="Arial"/>
        </w:rPr>
      </w:pPr>
      <w:r w:rsidRPr="009E4F52">
        <w:rPr>
          <w:rFonts w:ascii="Arial" w:hAnsi="Arial" w:cs="Arial"/>
        </w:rPr>
        <w:t>Dans le cadre du programme</w:t>
      </w:r>
      <w:r w:rsidR="005B3075" w:rsidRPr="009E4F52">
        <w:rPr>
          <w:rFonts w:ascii="Arial" w:hAnsi="Arial" w:cs="Arial"/>
        </w:rPr>
        <w:t xml:space="preserve"> ÉcoPerformance – </w:t>
      </w:r>
      <w:r w:rsidR="007D42FB">
        <w:rPr>
          <w:rFonts w:ascii="Arial" w:hAnsi="Arial" w:cs="Arial"/>
        </w:rPr>
        <w:t>P</w:t>
      </w:r>
      <w:r w:rsidR="005B3075" w:rsidRPr="009E4F52">
        <w:rPr>
          <w:rFonts w:ascii="Arial" w:hAnsi="Arial" w:cs="Arial"/>
        </w:rPr>
        <w:t>rojets de remise au point des systèmes mécaniques de</w:t>
      </w:r>
      <w:r w:rsidR="00E3649E">
        <w:rPr>
          <w:rFonts w:ascii="Arial" w:hAnsi="Arial" w:cs="Arial"/>
        </w:rPr>
        <w:t>s</w:t>
      </w:r>
      <w:r w:rsidR="005B3075" w:rsidRPr="009E4F52">
        <w:rPr>
          <w:rFonts w:ascii="Arial" w:hAnsi="Arial" w:cs="Arial"/>
        </w:rPr>
        <w:t xml:space="preserve"> bâtiment</w:t>
      </w:r>
      <w:r w:rsidR="00E3649E">
        <w:rPr>
          <w:rFonts w:ascii="Arial" w:hAnsi="Arial" w:cs="Arial"/>
        </w:rPr>
        <w:t>s</w:t>
      </w:r>
      <w:r w:rsidRPr="009E4F52">
        <w:rPr>
          <w:rFonts w:ascii="Arial" w:hAnsi="Arial" w:cs="Arial"/>
        </w:rPr>
        <w:t>, vous devez élaborer et fournir</w:t>
      </w:r>
      <w:r w:rsidR="00A90F5A" w:rsidRPr="009E4F52">
        <w:rPr>
          <w:rFonts w:ascii="Arial" w:hAnsi="Arial" w:cs="Arial"/>
        </w:rPr>
        <w:t xml:space="preserve"> </w:t>
      </w:r>
      <w:r w:rsidR="00B948FC" w:rsidRPr="009E4F52">
        <w:rPr>
          <w:rFonts w:ascii="Arial" w:hAnsi="Arial" w:cs="Arial"/>
        </w:rPr>
        <w:t>cette première section du rapport d</w:t>
      </w:r>
      <w:r w:rsidR="00A90F5A" w:rsidRPr="009E4F52">
        <w:rPr>
          <w:rFonts w:ascii="Arial" w:hAnsi="Arial" w:cs="Arial"/>
        </w:rPr>
        <w:t>’analyse</w:t>
      </w:r>
      <w:r w:rsidR="005B3075" w:rsidRPr="009E4F52">
        <w:rPr>
          <w:rFonts w:ascii="Arial" w:hAnsi="Arial" w:cs="Arial"/>
        </w:rPr>
        <w:t xml:space="preserve"> suivant la structure présentée dans le présent document. Toutefois, si vous détenez un rapport d’analyse rédigé par un consultant dans lequel apparaissent les renseignements exigés ici, vous n’aurez pas à produire </w:t>
      </w:r>
      <w:r w:rsidR="00A90F5A" w:rsidRPr="009E4F52">
        <w:rPr>
          <w:rFonts w:ascii="Arial" w:hAnsi="Arial" w:cs="Arial"/>
        </w:rPr>
        <w:t>cette description</w:t>
      </w:r>
      <w:r w:rsidR="005B3075" w:rsidRPr="009E4F52">
        <w:rPr>
          <w:rFonts w:ascii="Arial" w:hAnsi="Arial" w:cs="Arial"/>
        </w:rPr>
        <w:t>.</w:t>
      </w:r>
      <w:r w:rsidR="002E5DD1" w:rsidRPr="009E4F52">
        <w:rPr>
          <w:rFonts w:ascii="Arial" w:hAnsi="Arial" w:cs="Arial"/>
        </w:rPr>
        <w:t xml:space="preserve"> </w:t>
      </w:r>
    </w:p>
    <w:p w14:paraId="3D94A78D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8E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8F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90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91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92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93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94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95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96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97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98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99" w14:textId="77777777" w:rsidR="00B948FC" w:rsidRPr="009E4F52" w:rsidRDefault="00B948FC" w:rsidP="005B3075">
      <w:pPr>
        <w:spacing w:after="0" w:line="240" w:lineRule="auto"/>
        <w:rPr>
          <w:rFonts w:ascii="Arial" w:hAnsi="Arial" w:cs="Arial"/>
        </w:rPr>
      </w:pPr>
    </w:p>
    <w:p w14:paraId="3D94A79A" w14:textId="77777777" w:rsidR="00B948FC" w:rsidRPr="009E4F52" w:rsidRDefault="00B948FC" w:rsidP="005B3075">
      <w:pPr>
        <w:spacing w:after="0" w:line="240" w:lineRule="auto"/>
        <w:rPr>
          <w:rFonts w:ascii="Arial" w:hAnsi="Arial" w:cs="Arial"/>
          <w:lang w:val="fr-FR"/>
        </w:rPr>
      </w:pPr>
    </w:p>
    <w:p w14:paraId="3D94A79B" w14:textId="77777777" w:rsidR="005566C3" w:rsidRPr="009E4F52" w:rsidRDefault="005566C3" w:rsidP="009C2840">
      <w:pPr>
        <w:rPr>
          <w:rFonts w:ascii="Arial" w:hAnsi="Arial" w:cs="Arial"/>
          <w:lang w:val="fr-FR"/>
        </w:rPr>
      </w:pPr>
    </w:p>
    <w:p w14:paraId="10ACECBF" w14:textId="77777777" w:rsidR="00D40B40" w:rsidRPr="00D052D6" w:rsidRDefault="00D40B40" w:rsidP="00D40B40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MINISTÈRE </w:t>
      </w:r>
      <w:r w:rsidRPr="00BD5A62">
        <w:rPr>
          <w:rFonts w:ascii="Arial" w:hAnsi="Arial" w:cs="Arial"/>
          <w:lang w:val="fr-FR"/>
        </w:rPr>
        <w:t>DE L’ENVIRONNEMENT, DE LA LUTTE CONTRE</w:t>
      </w:r>
      <w:r>
        <w:rPr>
          <w:rFonts w:ascii="Arial" w:hAnsi="Arial" w:cs="Arial"/>
          <w:lang w:val="fr-FR"/>
        </w:rPr>
        <w:br/>
      </w:r>
      <w:r w:rsidRPr="00BD5A62">
        <w:rPr>
          <w:rFonts w:ascii="Arial" w:hAnsi="Arial" w:cs="Arial"/>
          <w:lang w:val="fr-FR"/>
        </w:rPr>
        <w:t>LES CHANGEMENTS CLIMATIQUES, DE LA FAUNE ET DES PARCS</w:t>
      </w:r>
    </w:p>
    <w:p w14:paraId="55031215" w14:textId="77777777" w:rsidR="00D40B40" w:rsidRPr="00D052D6" w:rsidRDefault="00D40B40" w:rsidP="00D40B40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Adresse c</w:t>
      </w:r>
      <w:r w:rsidRPr="005D3755">
        <w:rPr>
          <w:rFonts w:ascii="Arial" w:hAnsi="Arial" w:cs="Arial"/>
          <w:lang w:val="fr-FR"/>
        </w:rPr>
        <w:t xml:space="preserve">ourriel : </w:t>
      </w:r>
      <w:hyperlink r:id="rId16" w:history="1">
        <w:r w:rsidRPr="002C0C06">
          <w:rPr>
            <w:rStyle w:val="Lienhypertexte"/>
            <w:rFonts w:ascii="Arial" w:hAnsi="Arial" w:cs="Arial"/>
            <w:lang w:val="fr-FR"/>
          </w:rPr>
          <w:t>transitionenergetique.affaires@mern.gouv.qc.ca</w:t>
        </w:r>
      </w:hyperlink>
    </w:p>
    <w:p w14:paraId="71D9A065" w14:textId="77777777" w:rsidR="00D40B40" w:rsidRPr="005D3755" w:rsidRDefault="00D40B40" w:rsidP="00D40B40">
      <w:pPr>
        <w:spacing w:after="0" w:line="240" w:lineRule="auto"/>
        <w:rPr>
          <w:rFonts w:ascii="Arial" w:hAnsi="Arial" w:cs="Arial"/>
          <w:lang w:val="fr-FR"/>
        </w:rPr>
      </w:pPr>
    </w:p>
    <w:p w14:paraId="44EB2AB1" w14:textId="77777777" w:rsidR="00D40B40" w:rsidRPr="005D3755" w:rsidRDefault="00D40B40" w:rsidP="00D40B40">
      <w:pPr>
        <w:spacing w:after="0" w:line="240" w:lineRule="auto"/>
        <w:rPr>
          <w:rFonts w:ascii="Arial" w:hAnsi="Arial" w:cs="Arial"/>
          <w:lang w:val="fr-FR"/>
        </w:rPr>
      </w:pPr>
    </w:p>
    <w:p w14:paraId="0CD1A6A4" w14:textId="77777777" w:rsidR="00D40B40" w:rsidRPr="00D052D6" w:rsidRDefault="00D40B40" w:rsidP="00D40B40">
      <w:pPr>
        <w:spacing w:after="0"/>
        <w:rPr>
          <w:rFonts w:ascii="Arial" w:hAnsi="Arial" w:cs="Arial"/>
          <w:lang w:val="fr-FR"/>
        </w:rPr>
      </w:pPr>
      <w:r w:rsidRPr="00D052D6">
        <w:rPr>
          <w:rFonts w:ascii="Arial" w:hAnsi="Arial" w:cs="Arial"/>
          <w:lang w:val="fr-FR"/>
        </w:rPr>
        <w:t xml:space="preserve">Version du </w:t>
      </w:r>
      <w:r>
        <w:rPr>
          <w:rFonts w:ascii="Arial" w:hAnsi="Arial" w:cs="Arial"/>
          <w:lang w:val="fr-FR"/>
        </w:rPr>
        <w:t>3 octobre 2023</w:t>
      </w:r>
    </w:p>
    <w:p w14:paraId="3D94A7A3" w14:textId="61F288FD" w:rsidR="00396175" w:rsidRPr="009E4F52" w:rsidRDefault="00D40B40" w:rsidP="00D40B40">
      <w:pPr>
        <w:spacing w:after="0"/>
        <w:rPr>
          <w:rFonts w:ascii="Arial" w:hAnsi="Arial" w:cs="Arial"/>
          <w:lang w:val="fr-FR"/>
        </w:rPr>
      </w:pPr>
      <w:r w:rsidRPr="00D052D6">
        <w:rPr>
          <w:rFonts w:ascii="Arial" w:hAnsi="Arial" w:cs="Arial"/>
          <w:lang w:val="fr-FR"/>
        </w:rPr>
        <w:sym w:font="Symbol" w:char="F0D3"/>
      </w:r>
      <w:r w:rsidRPr="00D052D6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Ministère </w:t>
      </w:r>
      <w:r w:rsidRPr="00BD5A62">
        <w:rPr>
          <w:rFonts w:ascii="Arial" w:hAnsi="Arial" w:cs="Arial"/>
          <w:lang w:val="fr-FR"/>
        </w:rPr>
        <w:t>de l’Environnement, de la Lutte contre les changements climatiques, de la Faune et des Parcs</w:t>
      </w:r>
    </w:p>
    <w:p w14:paraId="3D94A7A4" w14:textId="77777777" w:rsidR="00C04FED" w:rsidRDefault="00C04FED" w:rsidP="00C00F1C">
      <w:pPr>
        <w:spacing w:after="0"/>
        <w:rPr>
          <w:rFonts w:ascii="Arial" w:hAnsi="Arial" w:cs="Arial"/>
          <w:lang w:val="fr-FR"/>
        </w:rPr>
      </w:pPr>
    </w:p>
    <w:p w14:paraId="3D94A7A5" w14:textId="77777777" w:rsidR="00856DFE" w:rsidRDefault="00856DFE">
      <w:pPr>
        <w:spacing w:after="0" w:line="240" w:lineRule="auto"/>
        <w:rPr>
          <w:rFonts w:ascii="Arial" w:eastAsiaTheme="majorEastAsia" w:hAnsi="Arial" w:cstheme="majorBidi"/>
          <w:b/>
          <w:sz w:val="24"/>
          <w:szCs w:val="32"/>
        </w:rPr>
      </w:pPr>
      <w:bookmarkStart w:id="0" w:name="_Toc430606530"/>
      <w:r>
        <w:br w:type="page"/>
      </w:r>
    </w:p>
    <w:p w14:paraId="3D94A7A6" w14:textId="77777777" w:rsidR="00164609" w:rsidRPr="009A7E8C" w:rsidRDefault="00164609" w:rsidP="00164609">
      <w:pPr>
        <w:pStyle w:val="Titre1"/>
      </w:pPr>
      <w:bookmarkStart w:id="1" w:name="_Toc433194805"/>
      <w:r w:rsidRPr="009A7E8C">
        <w:lastRenderedPageBreak/>
        <w:t xml:space="preserve">Section 1. </w:t>
      </w:r>
      <w:bookmarkEnd w:id="0"/>
      <w:bookmarkEnd w:id="1"/>
      <w:r w:rsidR="00B948FC">
        <w:t>Investigation</w:t>
      </w:r>
    </w:p>
    <w:p w14:paraId="3D94A7A7" w14:textId="77777777" w:rsidR="00164609" w:rsidRPr="009A7E8C" w:rsidRDefault="00164609" w:rsidP="00164609">
      <w:pPr>
        <w:spacing w:after="0" w:line="240" w:lineRule="auto"/>
        <w:jc w:val="both"/>
        <w:rPr>
          <w:rFonts w:ascii="Times New Roman" w:hAnsi="Times New Roman"/>
        </w:rPr>
      </w:pPr>
    </w:p>
    <w:p w14:paraId="3D94A7A8" w14:textId="77777777" w:rsidR="00164609" w:rsidRPr="009A7E8C" w:rsidRDefault="00B948FC" w:rsidP="00164609">
      <w:pPr>
        <w:pStyle w:val="Titre2"/>
        <w:numPr>
          <w:ilvl w:val="0"/>
          <w:numId w:val="5"/>
        </w:numPr>
      </w:pPr>
      <w:r>
        <w:t>Bilan énergétique</w:t>
      </w:r>
    </w:p>
    <w:p w14:paraId="3D94A7A9" w14:textId="77777777" w:rsidR="005B3075" w:rsidRDefault="00B948FC" w:rsidP="00B948F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</w:pPr>
      <w:r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Comparaison de la</w:t>
      </w:r>
      <w:r w:rsidRPr="00B948FC">
        <w:t xml:space="preserve"> </w:t>
      </w:r>
      <w:r w:rsidRPr="00B948FC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consommation avant les travaux (selon des données réelles) et de la consommation après les travaux (selon des données estimées), et ce, pour chaque source d’énergie utilisée.</w:t>
      </w:r>
    </w:p>
    <w:p w14:paraId="3D94A7AA" w14:textId="77777777" w:rsidR="00B948FC" w:rsidRDefault="00B948FC" w:rsidP="00B948F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</w:pPr>
      <w:r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Liste détaillée des équipements qui consomment de l’énergie.</w:t>
      </w:r>
    </w:p>
    <w:p w14:paraId="3D94A7AB" w14:textId="77777777" w:rsidR="00B948FC" w:rsidRPr="005B3075" w:rsidRDefault="00B948FC" w:rsidP="00B948F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</w:pPr>
      <w:r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Répartition de la consommation d’énergie entre les principaux systèmes.</w:t>
      </w:r>
    </w:p>
    <w:p w14:paraId="3D94A7AC" w14:textId="77777777" w:rsidR="005B3075" w:rsidRP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AD" w14:textId="77777777" w:rsidR="003922E1" w:rsidRDefault="003922E1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AE" w14:textId="77777777" w:rsid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AF" w14:textId="77777777" w:rsid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B0" w14:textId="77777777" w:rsid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B1" w14:textId="77777777" w:rsidR="005B3075" w:rsidRP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B2" w14:textId="77777777" w:rsidR="00164609" w:rsidRPr="009A7E8C" w:rsidRDefault="00B948FC" w:rsidP="00164609">
      <w:pPr>
        <w:pStyle w:val="Titre2"/>
        <w:numPr>
          <w:ilvl w:val="0"/>
          <w:numId w:val="5"/>
        </w:numPr>
      </w:pPr>
      <w:r>
        <w:t>Améliorations énergétiques</w:t>
      </w:r>
    </w:p>
    <w:p w14:paraId="3D94A7B3" w14:textId="77777777" w:rsidR="005B3075" w:rsidRPr="005B3075" w:rsidRDefault="00B948FC" w:rsidP="005B3075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</w:pPr>
      <w:r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Description de chaque mesure accompagnée des calculs quantifiant les économies d’énergie et d’argent.</w:t>
      </w:r>
    </w:p>
    <w:p w14:paraId="3D94A7B4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B5" w14:textId="77777777" w:rsidR="00164609" w:rsidRPr="005B3075" w:rsidRDefault="00164609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B6" w14:textId="77777777" w:rsidR="005B3075" w:rsidRP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B7" w14:textId="77777777" w:rsidR="005B3075" w:rsidRP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B8" w14:textId="77777777" w:rsidR="005B3075" w:rsidRPr="005B3075" w:rsidRDefault="005B3075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B9" w14:textId="77777777" w:rsidR="003922E1" w:rsidRPr="005B3075" w:rsidRDefault="003922E1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  <w:bookmarkStart w:id="2" w:name="_Toc430606533"/>
    </w:p>
    <w:bookmarkEnd w:id="2"/>
    <w:p w14:paraId="3D94A7BA" w14:textId="77777777" w:rsidR="00164609" w:rsidRPr="005B3075" w:rsidRDefault="00164609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BB" w14:textId="77777777" w:rsidR="00164609" w:rsidRPr="009A7E8C" w:rsidRDefault="005B3075" w:rsidP="005B3075">
      <w:pPr>
        <w:pStyle w:val="Titre2"/>
        <w:numPr>
          <w:ilvl w:val="0"/>
          <w:numId w:val="5"/>
        </w:numPr>
      </w:pPr>
      <w:r>
        <w:t>Plan et échéancier d’implantation des mesures</w:t>
      </w:r>
    </w:p>
    <w:p w14:paraId="3D94A7BC" w14:textId="77777777" w:rsidR="00164609" w:rsidRPr="002228C2" w:rsidRDefault="005B3075" w:rsidP="00C72375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</w:pPr>
      <w:r w:rsidRPr="005B3075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Description du mode et des particularités d’implantation de l’ensemble des mesures accompagnée et de l’échéancier détaillé.</w:t>
      </w:r>
    </w:p>
    <w:p w14:paraId="3D94A7BD" w14:textId="77777777" w:rsidR="00164609" w:rsidRPr="005B3075" w:rsidRDefault="00164609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BE" w14:textId="77777777" w:rsidR="00164609" w:rsidRPr="005B3075" w:rsidRDefault="00164609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BF" w14:textId="77777777" w:rsidR="00164609" w:rsidRPr="005B3075" w:rsidRDefault="00164609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C0" w14:textId="77777777" w:rsidR="00164609" w:rsidRDefault="00164609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C1" w14:textId="77777777" w:rsidR="00470460" w:rsidRPr="005B3075" w:rsidRDefault="00470460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C2" w14:textId="77777777" w:rsidR="00164609" w:rsidRPr="005B3075" w:rsidRDefault="00164609" w:rsidP="005B307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C3" w14:textId="77777777" w:rsidR="00164609" w:rsidRPr="009A7E8C" w:rsidRDefault="005B3075" w:rsidP="005B3075">
      <w:pPr>
        <w:pStyle w:val="Titre2"/>
        <w:numPr>
          <w:ilvl w:val="0"/>
          <w:numId w:val="5"/>
        </w:numPr>
      </w:pPr>
      <w:r>
        <w:t>Registre des mesures</w:t>
      </w:r>
    </w:p>
    <w:p w14:paraId="3D94A7C4" w14:textId="77777777" w:rsidR="005B3075" w:rsidRPr="00470460" w:rsidRDefault="005B3075" w:rsidP="0047046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</w:pPr>
      <w:r w:rsidRPr="00470460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 xml:space="preserve">Fichier Excel à remplir (équivalent au </w:t>
      </w:r>
      <w:r w:rsidRPr="00470460">
        <w:rPr>
          <w:rFonts w:ascii="Arial" w:eastAsiaTheme="majorEastAsia" w:hAnsi="Arial" w:cstheme="majorBidi"/>
          <w:i/>
          <w:color w:val="1F4D78" w:themeColor="accent1" w:themeShade="7F"/>
          <w:sz w:val="20"/>
          <w:szCs w:val="24"/>
        </w:rPr>
        <w:t>Formulaire III – Implantation des mesures de remise au point des systèmes mécaniques de</w:t>
      </w:r>
      <w:r w:rsidR="00E3649E">
        <w:rPr>
          <w:rFonts w:ascii="Arial" w:eastAsiaTheme="majorEastAsia" w:hAnsi="Arial" w:cstheme="majorBidi"/>
          <w:i/>
          <w:color w:val="1F4D78" w:themeColor="accent1" w:themeShade="7F"/>
          <w:sz w:val="20"/>
          <w:szCs w:val="24"/>
        </w:rPr>
        <w:t>s</w:t>
      </w:r>
      <w:r w:rsidRPr="00470460">
        <w:rPr>
          <w:rFonts w:ascii="Arial" w:eastAsiaTheme="majorEastAsia" w:hAnsi="Arial" w:cstheme="majorBidi"/>
          <w:i/>
          <w:color w:val="1F4D78" w:themeColor="accent1" w:themeShade="7F"/>
          <w:sz w:val="20"/>
          <w:szCs w:val="24"/>
        </w:rPr>
        <w:t xml:space="preserve"> bâtiments</w:t>
      </w:r>
      <w:r w:rsidRPr="00470460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 xml:space="preserve"> </w:t>
      </w:r>
      <w:r w:rsidR="009E4F52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d’</w:t>
      </w:r>
      <w:proofErr w:type="spellStart"/>
      <w:r w:rsidR="009E4F52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Énergir</w:t>
      </w:r>
      <w:proofErr w:type="spellEnd"/>
      <w:r w:rsidRPr="00470460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)</w:t>
      </w:r>
    </w:p>
    <w:p w14:paraId="3D94A7C5" w14:textId="77777777" w:rsidR="005B3075" w:rsidRPr="00470460" w:rsidRDefault="005B3075" w:rsidP="00470460">
      <w:pPr>
        <w:pStyle w:val="Paragraphedeliste"/>
        <w:numPr>
          <w:ilvl w:val="1"/>
          <w:numId w:val="11"/>
        </w:numPr>
        <w:spacing w:after="0" w:line="240" w:lineRule="auto"/>
        <w:jc w:val="both"/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</w:pPr>
      <w:r w:rsidRPr="00470460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 xml:space="preserve">Liste des mesures avec leurs paramètres d’économie par source d’énergie et d’investissement. </w:t>
      </w:r>
    </w:p>
    <w:p w14:paraId="3D94A7C6" w14:textId="77777777" w:rsidR="005B3075" w:rsidRPr="00470460" w:rsidRDefault="005B3075" w:rsidP="00470460">
      <w:pPr>
        <w:pStyle w:val="Paragraphedeliste"/>
        <w:numPr>
          <w:ilvl w:val="1"/>
          <w:numId w:val="11"/>
        </w:numPr>
        <w:spacing w:after="0" w:line="240" w:lineRule="auto"/>
        <w:jc w:val="both"/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</w:pPr>
      <w:r w:rsidRPr="00470460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Spécification des mesures qui seront mises en œuvre.</w:t>
      </w:r>
    </w:p>
    <w:p w14:paraId="3D94A7C7" w14:textId="77777777" w:rsidR="00164609" w:rsidRPr="00470460" w:rsidRDefault="005B3075" w:rsidP="00470460">
      <w:pPr>
        <w:pStyle w:val="Paragraphedeliste"/>
        <w:numPr>
          <w:ilvl w:val="1"/>
          <w:numId w:val="11"/>
        </w:numPr>
        <w:spacing w:after="0" w:line="240" w:lineRule="auto"/>
        <w:jc w:val="both"/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</w:pPr>
      <w:r w:rsidRPr="00470460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Signature de l’agent accrédité en remise au point des systèmes mécaniques de</w:t>
      </w:r>
      <w:r w:rsidR="00E3649E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>s</w:t>
      </w:r>
      <w:r w:rsidRPr="00470460">
        <w:rPr>
          <w:rFonts w:ascii="Arial" w:eastAsiaTheme="majorEastAsia" w:hAnsi="Arial" w:cstheme="majorBidi"/>
          <w:color w:val="1F4D78" w:themeColor="accent1" w:themeShade="7F"/>
          <w:sz w:val="20"/>
          <w:szCs w:val="24"/>
        </w:rPr>
        <w:t xml:space="preserve"> bâtiments, avec la date.</w:t>
      </w:r>
    </w:p>
    <w:p w14:paraId="3D94A7C8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C9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CA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CB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CC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CD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CE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CF" w14:textId="77777777" w:rsidR="00164609" w:rsidRPr="009A7E8C" w:rsidRDefault="00470460" w:rsidP="005B3075">
      <w:pPr>
        <w:pStyle w:val="Titre2"/>
        <w:numPr>
          <w:ilvl w:val="0"/>
          <w:numId w:val="5"/>
        </w:numPr>
      </w:pPr>
      <w:r>
        <w:t>Stratégie de persistance des mesures implantées</w:t>
      </w:r>
    </w:p>
    <w:p w14:paraId="3D94A7D0" w14:textId="77777777" w:rsidR="00164609" w:rsidRDefault="00470460" w:rsidP="00470460">
      <w:pPr>
        <w:pStyle w:val="Titre3"/>
        <w:numPr>
          <w:ilvl w:val="0"/>
          <w:numId w:val="11"/>
        </w:numPr>
      </w:pPr>
      <w:r>
        <w:t>Liste de paramètres et indicateurs de performance à surveiller lors du suivi de la persistance.</w:t>
      </w:r>
    </w:p>
    <w:p w14:paraId="3D94A7D1" w14:textId="77777777" w:rsidR="00470460" w:rsidRDefault="00470460" w:rsidP="00470460">
      <w:pPr>
        <w:pStyle w:val="Titre3"/>
        <w:numPr>
          <w:ilvl w:val="0"/>
          <w:numId w:val="11"/>
        </w:numPr>
      </w:pPr>
      <w:r>
        <w:t>Description des méthodes à privilégier par l’opérateur des systèmes pour assurer la persistance et effectuer la vérification du rendement énergétique des mesures.</w:t>
      </w:r>
    </w:p>
    <w:p w14:paraId="3D94A7D2" w14:textId="77777777" w:rsidR="00470460" w:rsidRPr="00470460" w:rsidRDefault="00470460" w:rsidP="00470460">
      <w:pPr>
        <w:pStyle w:val="Titre3"/>
        <w:numPr>
          <w:ilvl w:val="0"/>
          <w:numId w:val="11"/>
        </w:numPr>
      </w:pPr>
      <w:r>
        <w:t>Revue du fonctionnement et de la capacité du système de contrôle numérique centralisé à rendre le service attendu en termes de persistance.</w:t>
      </w:r>
    </w:p>
    <w:p w14:paraId="3D94A7D3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D4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D5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D6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D7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D8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D9" w14:textId="77777777" w:rsidR="00164609" w:rsidRPr="009A7E8C" w:rsidRDefault="00470460" w:rsidP="005B3075">
      <w:pPr>
        <w:pStyle w:val="Titre2"/>
        <w:numPr>
          <w:ilvl w:val="0"/>
          <w:numId w:val="5"/>
        </w:numPr>
      </w:pPr>
      <w:r>
        <w:lastRenderedPageBreak/>
        <w:t>Stratégies de transfert</w:t>
      </w:r>
    </w:p>
    <w:p w14:paraId="3D94A7DA" w14:textId="77777777" w:rsidR="00164609" w:rsidRDefault="00470460" w:rsidP="00470460">
      <w:pPr>
        <w:pStyle w:val="Titre3"/>
        <w:numPr>
          <w:ilvl w:val="0"/>
          <w:numId w:val="11"/>
        </w:numPr>
      </w:pPr>
      <w:r>
        <w:t>Liste des formations à prévoir en fonction des différentes catégories d’opérateurs de systèmes.</w:t>
      </w:r>
    </w:p>
    <w:p w14:paraId="3D94A7DB" w14:textId="77777777" w:rsidR="00470460" w:rsidRDefault="00470460" w:rsidP="00470460">
      <w:pPr>
        <w:pStyle w:val="Titre3"/>
        <w:numPr>
          <w:ilvl w:val="0"/>
          <w:numId w:val="11"/>
        </w:numPr>
      </w:pPr>
      <w:r>
        <w:t>Description des interventions à prévoir sur le plan :</w:t>
      </w:r>
    </w:p>
    <w:p w14:paraId="3D94A7DC" w14:textId="77777777" w:rsidR="00470460" w:rsidRDefault="00470460" w:rsidP="00470460">
      <w:pPr>
        <w:pStyle w:val="Titre3"/>
        <w:numPr>
          <w:ilvl w:val="1"/>
          <w:numId w:val="11"/>
        </w:numPr>
      </w:pPr>
      <w:proofErr w:type="gramStart"/>
      <w:r>
        <w:t>du</w:t>
      </w:r>
      <w:proofErr w:type="gramEnd"/>
      <w:r>
        <w:t xml:space="preserve"> soutien technique;</w:t>
      </w:r>
    </w:p>
    <w:p w14:paraId="3D94A7DD" w14:textId="77777777" w:rsidR="00470460" w:rsidRDefault="00470460" w:rsidP="00470460">
      <w:pPr>
        <w:pStyle w:val="Titre3"/>
        <w:numPr>
          <w:ilvl w:val="1"/>
          <w:numId w:val="11"/>
        </w:numPr>
      </w:pPr>
      <w:proofErr w:type="gramStart"/>
      <w:r>
        <w:t>des</w:t>
      </w:r>
      <w:proofErr w:type="gramEnd"/>
      <w:r>
        <w:t xml:space="preserve"> plans et manuels d’exploitation;</w:t>
      </w:r>
    </w:p>
    <w:p w14:paraId="3D94A7DE" w14:textId="77777777" w:rsidR="00470460" w:rsidRDefault="00470460" w:rsidP="00470460">
      <w:pPr>
        <w:pStyle w:val="Titre3"/>
        <w:numPr>
          <w:ilvl w:val="1"/>
          <w:numId w:val="11"/>
        </w:numPr>
      </w:pPr>
      <w:proofErr w:type="gramStart"/>
      <w:r>
        <w:t>des</w:t>
      </w:r>
      <w:proofErr w:type="gramEnd"/>
      <w:r>
        <w:t xml:space="preserve"> programmes d’entretien préventif;</w:t>
      </w:r>
    </w:p>
    <w:p w14:paraId="3D94A7DF" w14:textId="77777777" w:rsidR="00470460" w:rsidRPr="00470460" w:rsidRDefault="00470460" w:rsidP="00470460">
      <w:pPr>
        <w:pStyle w:val="Titre3"/>
        <w:numPr>
          <w:ilvl w:val="1"/>
          <w:numId w:val="11"/>
        </w:numPr>
      </w:pPr>
      <w:proofErr w:type="gramStart"/>
      <w:r>
        <w:t>des</w:t>
      </w:r>
      <w:proofErr w:type="gramEnd"/>
      <w:r>
        <w:t xml:space="preserve"> cahiers de procédures ou des bonnes pratiques.</w:t>
      </w:r>
    </w:p>
    <w:p w14:paraId="3D94A7E0" w14:textId="77777777" w:rsidR="00470460" w:rsidRPr="00470460" w:rsidRDefault="00470460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E1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E2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E3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E4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E5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E6" w14:textId="77777777" w:rsidR="00164609" w:rsidRPr="00470460" w:rsidRDefault="00164609" w:rsidP="00470460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3D94A7E7" w14:textId="77777777" w:rsidR="00164609" w:rsidRPr="00791936" w:rsidRDefault="00164609" w:rsidP="00791936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</w:rPr>
        <w:sectPr w:rsidR="00164609" w:rsidRPr="00791936" w:rsidSect="00BE76C7">
          <w:pgSz w:w="12240" w:h="15840"/>
          <w:pgMar w:top="720" w:right="720" w:bottom="720" w:left="720" w:header="706" w:footer="706" w:gutter="0"/>
          <w:cols w:space="708"/>
          <w:titlePg/>
          <w:docGrid w:linePitch="360"/>
        </w:sectPr>
      </w:pPr>
    </w:p>
    <w:p w14:paraId="3D94A7E8" w14:textId="77777777" w:rsidR="00164609" w:rsidRPr="009A7E8C" w:rsidRDefault="00470460" w:rsidP="005B3075">
      <w:pPr>
        <w:pStyle w:val="Titre2"/>
        <w:numPr>
          <w:ilvl w:val="0"/>
          <w:numId w:val="5"/>
        </w:numPr>
      </w:pPr>
      <w:r>
        <w:t>Récapitulatif des coûts et échéancier du projet</w:t>
      </w:r>
    </w:p>
    <w:p w14:paraId="3D94A7E9" w14:textId="77777777" w:rsidR="00164609" w:rsidRPr="009A7E8C" w:rsidRDefault="00470460" w:rsidP="00470460">
      <w:pPr>
        <w:pStyle w:val="Titre3"/>
        <w:numPr>
          <w:ilvl w:val="0"/>
          <w:numId w:val="11"/>
        </w:numPr>
      </w:pPr>
      <w:r>
        <w:t>Mise à jour du sommaire des coûts et de l’échéancier</w:t>
      </w:r>
    </w:p>
    <w:p w14:paraId="3D94A7EA" w14:textId="77777777" w:rsidR="00164609" w:rsidRDefault="00164609" w:rsidP="0016460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00" w:type="dxa"/>
        <w:jc w:val="center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ook w:val="01E0" w:firstRow="1" w:lastRow="1" w:firstColumn="1" w:lastColumn="1" w:noHBand="0" w:noVBand="0"/>
      </w:tblPr>
      <w:tblGrid>
        <w:gridCol w:w="2450"/>
        <w:gridCol w:w="2450"/>
        <w:gridCol w:w="2450"/>
        <w:gridCol w:w="2450"/>
      </w:tblGrid>
      <w:tr w:rsidR="00470460" w:rsidRPr="00470460" w14:paraId="3D94A7EF" w14:textId="77777777" w:rsidTr="00F049B7">
        <w:trPr>
          <w:jc w:val="center"/>
        </w:trPr>
        <w:tc>
          <w:tcPr>
            <w:tcW w:w="2450" w:type="dxa"/>
            <w:tcBorders>
              <w:bottom w:val="single" w:sz="12" w:space="0" w:color="DDDDDD"/>
            </w:tcBorders>
            <w:shd w:val="clear" w:color="auto" w:fill="59A2BB"/>
            <w:vAlign w:val="center"/>
          </w:tcPr>
          <w:p w14:paraId="3D94A7EB" w14:textId="77777777" w:rsidR="00470460" w:rsidRPr="00470460" w:rsidRDefault="00470460" w:rsidP="0047046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60">
              <w:rPr>
                <w:rFonts w:ascii="Arial" w:hAnsi="Arial" w:cs="Arial"/>
                <w:b/>
                <w:sz w:val="20"/>
                <w:szCs w:val="20"/>
              </w:rPr>
              <w:t>Phase</w:t>
            </w:r>
          </w:p>
        </w:tc>
        <w:tc>
          <w:tcPr>
            <w:tcW w:w="2450" w:type="dxa"/>
            <w:shd w:val="clear" w:color="auto" w:fill="59A2BB"/>
            <w:vAlign w:val="center"/>
          </w:tcPr>
          <w:p w14:paraId="3D94A7EC" w14:textId="77777777" w:rsidR="00470460" w:rsidRPr="00470460" w:rsidRDefault="00470460" w:rsidP="0047046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60">
              <w:rPr>
                <w:rFonts w:ascii="Arial" w:hAnsi="Arial" w:cs="Arial"/>
                <w:b/>
                <w:sz w:val="20"/>
                <w:szCs w:val="20"/>
              </w:rPr>
              <w:t>Date de début</w:t>
            </w:r>
          </w:p>
        </w:tc>
        <w:tc>
          <w:tcPr>
            <w:tcW w:w="2450" w:type="dxa"/>
            <w:shd w:val="clear" w:color="auto" w:fill="59A2BB"/>
            <w:vAlign w:val="center"/>
          </w:tcPr>
          <w:p w14:paraId="3D94A7ED" w14:textId="77777777" w:rsidR="00470460" w:rsidRPr="00470460" w:rsidRDefault="00470460" w:rsidP="0047046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60">
              <w:rPr>
                <w:rFonts w:ascii="Arial" w:hAnsi="Arial" w:cs="Arial"/>
                <w:b/>
                <w:sz w:val="20"/>
                <w:szCs w:val="20"/>
              </w:rPr>
              <w:t>Date de fin</w:t>
            </w:r>
            <w:r w:rsidRPr="00470460">
              <w:rPr>
                <w:rStyle w:val="Appelnotedebasdep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2450" w:type="dxa"/>
            <w:shd w:val="clear" w:color="auto" w:fill="59A2BB"/>
            <w:vAlign w:val="center"/>
          </w:tcPr>
          <w:p w14:paraId="3D94A7EE" w14:textId="77777777" w:rsidR="00470460" w:rsidRPr="00470460" w:rsidRDefault="00470460" w:rsidP="0047046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60">
              <w:rPr>
                <w:rFonts w:ascii="Arial" w:hAnsi="Arial" w:cs="Arial"/>
                <w:b/>
                <w:sz w:val="20"/>
                <w:szCs w:val="20"/>
              </w:rPr>
              <w:t>Ingénierie et honoraires</w:t>
            </w:r>
          </w:p>
        </w:tc>
      </w:tr>
      <w:tr w:rsidR="00470460" w:rsidRPr="00470460" w14:paraId="3D94A7F4" w14:textId="77777777" w:rsidTr="00A44C85">
        <w:trPr>
          <w:jc w:val="center"/>
        </w:trPr>
        <w:tc>
          <w:tcPr>
            <w:tcW w:w="2450" w:type="dxa"/>
            <w:shd w:val="clear" w:color="auto" w:fill="E6E6E6"/>
          </w:tcPr>
          <w:p w14:paraId="3D94A7F0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Investigation</w:t>
            </w:r>
          </w:p>
        </w:tc>
        <w:tc>
          <w:tcPr>
            <w:tcW w:w="2450" w:type="dxa"/>
            <w:shd w:val="clear" w:color="auto" w:fill="auto"/>
          </w:tcPr>
          <w:p w14:paraId="3D94A7F1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D94A7F2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D94A7F3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0460" w:rsidRPr="00470460" w14:paraId="3D94A7F9" w14:textId="77777777" w:rsidTr="00A44C85">
        <w:trPr>
          <w:jc w:val="center"/>
        </w:trPr>
        <w:tc>
          <w:tcPr>
            <w:tcW w:w="2450" w:type="dxa"/>
            <w:shd w:val="clear" w:color="auto" w:fill="E6E6E6"/>
          </w:tcPr>
          <w:p w14:paraId="3D94A7F5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Implantation</w:t>
            </w:r>
          </w:p>
        </w:tc>
        <w:tc>
          <w:tcPr>
            <w:tcW w:w="2450" w:type="dxa"/>
            <w:shd w:val="clear" w:color="auto" w:fill="auto"/>
          </w:tcPr>
          <w:p w14:paraId="3D94A7F6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D94A7F7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D94A7F8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0460" w:rsidRPr="00470460" w14:paraId="3D94A7FE" w14:textId="77777777" w:rsidTr="00A44C85">
        <w:trPr>
          <w:jc w:val="center"/>
        </w:trPr>
        <w:tc>
          <w:tcPr>
            <w:tcW w:w="2450" w:type="dxa"/>
            <w:shd w:val="clear" w:color="auto" w:fill="E6E6E6"/>
          </w:tcPr>
          <w:p w14:paraId="3D94A7FA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Transfert</w:t>
            </w:r>
          </w:p>
        </w:tc>
        <w:tc>
          <w:tcPr>
            <w:tcW w:w="2450" w:type="dxa"/>
            <w:shd w:val="clear" w:color="auto" w:fill="auto"/>
          </w:tcPr>
          <w:p w14:paraId="3D94A7FB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D94A7FC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D94A7FD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0460" w:rsidRPr="00470460" w14:paraId="3D94A803" w14:textId="77777777" w:rsidTr="00A44C85">
        <w:trPr>
          <w:jc w:val="center"/>
        </w:trPr>
        <w:tc>
          <w:tcPr>
            <w:tcW w:w="2450" w:type="dxa"/>
            <w:shd w:val="clear" w:color="auto" w:fill="E6E6E6"/>
          </w:tcPr>
          <w:p w14:paraId="3D94A7FF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Suivi – année 1</w:t>
            </w:r>
          </w:p>
        </w:tc>
        <w:tc>
          <w:tcPr>
            <w:tcW w:w="2450" w:type="dxa"/>
            <w:shd w:val="clear" w:color="auto" w:fill="auto"/>
          </w:tcPr>
          <w:p w14:paraId="3D94A800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D94A801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D94A802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0460" w:rsidRPr="00470460" w14:paraId="3D94A808" w14:textId="77777777" w:rsidTr="00A44C85">
        <w:trPr>
          <w:jc w:val="center"/>
        </w:trPr>
        <w:tc>
          <w:tcPr>
            <w:tcW w:w="2450" w:type="dxa"/>
            <w:shd w:val="clear" w:color="auto" w:fill="E6E6E6"/>
          </w:tcPr>
          <w:p w14:paraId="3D94A804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Suivi – année 2</w:t>
            </w:r>
          </w:p>
        </w:tc>
        <w:tc>
          <w:tcPr>
            <w:tcW w:w="2450" w:type="dxa"/>
            <w:shd w:val="clear" w:color="auto" w:fill="auto"/>
          </w:tcPr>
          <w:p w14:paraId="3D94A805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D94A806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D94A807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0460" w:rsidRPr="00470460" w14:paraId="3D94A80D" w14:textId="77777777" w:rsidTr="00A44C85">
        <w:trPr>
          <w:jc w:val="center"/>
        </w:trPr>
        <w:tc>
          <w:tcPr>
            <w:tcW w:w="2450" w:type="dxa"/>
            <w:shd w:val="clear" w:color="auto" w:fill="E6E6E6"/>
          </w:tcPr>
          <w:p w14:paraId="3D94A809" w14:textId="77777777" w:rsidR="00470460" w:rsidRPr="00470460" w:rsidRDefault="00470460" w:rsidP="00B948F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Autre phase, si applicable</w:t>
            </w:r>
          </w:p>
        </w:tc>
        <w:tc>
          <w:tcPr>
            <w:tcW w:w="2450" w:type="dxa"/>
            <w:shd w:val="clear" w:color="auto" w:fill="auto"/>
          </w:tcPr>
          <w:p w14:paraId="3D94A80A" w14:textId="77777777" w:rsidR="00470460" w:rsidRPr="00470460" w:rsidRDefault="00470460" w:rsidP="00B948F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D94A80B" w14:textId="77777777" w:rsidR="00470460" w:rsidRPr="00470460" w:rsidRDefault="00470460" w:rsidP="00B948F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50" w:type="dxa"/>
            <w:shd w:val="clear" w:color="auto" w:fill="auto"/>
          </w:tcPr>
          <w:p w14:paraId="3D94A80C" w14:textId="77777777" w:rsidR="00470460" w:rsidRPr="00470460" w:rsidRDefault="00470460" w:rsidP="00B948F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70460" w:rsidRPr="00470460" w14:paraId="3D94A810" w14:textId="77777777" w:rsidTr="00A44C85">
        <w:trPr>
          <w:trHeight w:val="750"/>
          <w:jc w:val="center"/>
        </w:trPr>
        <w:tc>
          <w:tcPr>
            <w:tcW w:w="2450" w:type="dxa"/>
            <w:shd w:val="clear" w:color="auto" w:fill="E6E6E6"/>
            <w:vAlign w:val="center"/>
          </w:tcPr>
          <w:p w14:paraId="3D94A80E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70460">
              <w:rPr>
                <w:rFonts w:ascii="Arial" w:hAnsi="Arial" w:cs="Arial"/>
                <w:sz w:val="20"/>
                <w:szCs w:val="20"/>
              </w:rPr>
              <w:t>Commentaires</w:t>
            </w:r>
          </w:p>
        </w:tc>
        <w:tc>
          <w:tcPr>
            <w:tcW w:w="7350" w:type="dxa"/>
            <w:gridSpan w:val="3"/>
            <w:shd w:val="clear" w:color="auto" w:fill="auto"/>
          </w:tcPr>
          <w:p w14:paraId="3D94A80F" w14:textId="77777777" w:rsidR="00470460" w:rsidRPr="00470460" w:rsidRDefault="00470460" w:rsidP="0047046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D94A811" w14:textId="77777777" w:rsidR="00470460" w:rsidRPr="009A7E8C" w:rsidRDefault="00470460" w:rsidP="00164609">
      <w:pPr>
        <w:spacing w:after="0" w:line="240" w:lineRule="auto"/>
        <w:jc w:val="both"/>
        <w:rPr>
          <w:rFonts w:ascii="Times New Roman" w:hAnsi="Times New Roman"/>
        </w:rPr>
      </w:pPr>
    </w:p>
    <w:p w14:paraId="3D94A812" w14:textId="77777777" w:rsidR="00164609" w:rsidRDefault="00164609" w:rsidP="00164609">
      <w:pPr>
        <w:spacing w:after="0" w:line="240" w:lineRule="auto"/>
        <w:jc w:val="both"/>
        <w:rPr>
          <w:rFonts w:ascii="Times New Roman" w:hAnsi="Times New Roman"/>
        </w:rPr>
      </w:pPr>
    </w:p>
    <w:p w14:paraId="3D94A813" w14:textId="77777777" w:rsidR="00164609" w:rsidRDefault="00164609" w:rsidP="00164609">
      <w:pPr>
        <w:spacing w:after="0" w:line="240" w:lineRule="auto"/>
        <w:jc w:val="both"/>
        <w:rPr>
          <w:rFonts w:ascii="Times New Roman" w:hAnsi="Times New Roman"/>
        </w:rPr>
      </w:pPr>
    </w:p>
    <w:p w14:paraId="3D94A814" w14:textId="77777777" w:rsidR="00164609" w:rsidRDefault="00164609" w:rsidP="00164609">
      <w:pPr>
        <w:spacing w:after="0" w:line="240" w:lineRule="auto"/>
        <w:jc w:val="both"/>
        <w:rPr>
          <w:rFonts w:ascii="Times New Roman" w:hAnsi="Times New Roman"/>
        </w:rPr>
      </w:pPr>
    </w:p>
    <w:p w14:paraId="3D94A815" w14:textId="77777777" w:rsidR="00164609" w:rsidRDefault="00164609" w:rsidP="00164609">
      <w:pPr>
        <w:spacing w:after="0" w:line="240" w:lineRule="auto"/>
        <w:jc w:val="both"/>
        <w:rPr>
          <w:rFonts w:ascii="Times New Roman" w:hAnsi="Times New Roman"/>
        </w:rPr>
      </w:pPr>
    </w:p>
    <w:sectPr w:rsidR="00164609" w:rsidSect="00470460">
      <w:headerReference w:type="first" r:id="rId17"/>
      <w:footerReference w:type="first" r:id="rId18"/>
      <w:type w:val="continuous"/>
      <w:pgSz w:w="12240" w:h="15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E645" w14:textId="77777777" w:rsidR="001C1EDC" w:rsidRDefault="001C1EDC" w:rsidP="00254521">
      <w:pPr>
        <w:spacing w:after="0" w:line="240" w:lineRule="auto"/>
      </w:pPr>
      <w:r>
        <w:separator/>
      </w:r>
    </w:p>
  </w:endnote>
  <w:endnote w:type="continuationSeparator" w:id="0">
    <w:p w14:paraId="352C9ADD" w14:textId="77777777" w:rsidR="001C1EDC" w:rsidRDefault="001C1EDC" w:rsidP="00254521">
      <w:pPr>
        <w:spacing w:after="0" w:line="240" w:lineRule="auto"/>
      </w:pPr>
      <w:r>
        <w:continuationSeparator/>
      </w:r>
    </w:p>
  </w:endnote>
  <w:endnote w:type="continuationNotice" w:id="1">
    <w:p w14:paraId="5F5A55AB" w14:textId="77777777" w:rsidR="00766D20" w:rsidRDefault="00766D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556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D94A81E" w14:textId="77777777" w:rsidR="008B190F" w:rsidRPr="00F049B7" w:rsidRDefault="00F049B7" w:rsidP="00F049B7">
        <w:pPr>
          <w:pStyle w:val="Pieddepage"/>
          <w:jc w:val="right"/>
          <w:rPr>
            <w:rFonts w:ascii="Arial" w:hAnsi="Arial" w:cs="Arial"/>
          </w:rPr>
        </w:pPr>
        <w:r w:rsidRPr="00F71EEB">
          <w:rPr>
            <w:noProof/>
            <w:lang w:eastAsia="fr-CA"/>
          </w:rPr>
          <w:drawing>
            <wp:anchor distT="0" distB="0" distL="114300" distR="114300" simplePos="0" relativeHeight="251658242" behindDoc="1" locked="0" layoutInCell="1" allowOverlap="1" wp14:anchorId="3D94A824" wp14:editId="3D94A825">
              <wp:simplePos x="0" y="0"/>
              <wp:positionH relativeFrom="column">
                <wp:posOffset>-451262</wp:posOffset>
              </wp:positionH>
              <wp:positionV relativeFrom="paragraph">
                <wp:posOffset>11801</wp:posOffset>
              </wp:positionV>
              <wp:extent cx="6407785" cy="202565"/>
              <wp:effectExtent l="0" t="0" r="0" b="6985"/>
              <wp:wrapSquare wrapText="bothSides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77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049B7">
          <w:rPr>
            <w:rFonts w:ascii="Arial" w:hAnsi="Arial" w:cs="Arial"/>
          </w:rPr>
          <w:fldChar w:fldCharType="begin"/>
        </w:r>
        <w:r w:rsidRPr="00F049B7">
          <w:rPr>
            <w:rFonts w:ascii="Arial" w:hAnsi="Arial" w:cs="Arial"/>
          </w:rPr>
          <w:instrText>PAGE   \* MERGEFORMAT</w:instrText>
        </w:r>
        <w:r w:rsidRPr="00F049B7">
          <w:rPr>
            <w:rFonts w:ascii="Arial" w:hAnsi="Arial" w:cs="Arial"/>
          </w:rPr>
          <w:fldChar w:fldCharType="separate"/>
        </w:r>
        <w:r w:rsidR="00CA159D" w:rsidRPr="00CA159D">
          <w:rPr>
            <w:rFonts w:ascii="Arial" w:hAnsi="Arial" w:cs="Arial"/>
            <w:noProof/>
            <w:lang w:val="fr-FR"/>
          </w:rPr>
          <w:t>4</w:t>
        </w:r>
        <w:r w:rsidRPr="00F049B7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A81F" w14:textId="77777777" w:rsidR="00E04E38" w:rsidRDefault="00607424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94A826" wp14:editId="3D94A827">
          <wp:simplePos x="0" y="0"/>
          <wp:positionH relativeFrom="margin">
            <wp:align>center</wp:align>
          </wp:positionH>
          <wp:positionV relativeFrom="paragraph">
            <wp:posOffset>-532381</wp:posOffset>
          </wp:positionV>
          <wp:extent cx="1757626" cy="529240"/>
          <wp:effectExtent l="0" t="0" r="0" b="4445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26" cy="52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518977"/>
      <w:docPartObj>
        <w:docPartGallery w:val="Page Numbers (Bottom of Page)"/>
        <w:docPartUnique/>
      </w:docPartObj>
    </w:sdtPr>
    <w:sdtEndPr/>
    <w:sdtContent>
      <w:p w14:paraId="3D94A821" w14:textId="77777777" w:rsidR="00164609" w:rsidRDefault="00F049B7" w:rsidP="00396175">
        <w:pPr>
          <w:tabs>
            <w:tab w:val="right" w:pos="10773"/>
          </w:tabs>
          <w:spacing w:before="120"/>
        </w:pPr>
        <w:r w:rsidRPr="00F71EEB">
          <w:rPr>
            <w:noProof/>
            <w:lang w:eastAsia="fr-CA"/>
          </w:rPr>
          <w:drawing>
            <wp:anchor distT="0" distB="0" distL="114300" distR="114300" simplePos="0" relativeHeight="251658241" behindDoc="1" locked="0" layoutInCell="1" allowOverlap="1" wp14:anchorId="3D94A828" wp14:editId="3D94A829">
              <wp:simplePos x="0" y="0"/>
              <wp:positionH relativeFrom="column">
                <wp:posOffset>-475013</wp:posOffset>
              </wp:positionH>
              <wp:positionV relativeFrom="paragraph">
                <wp:posOffset>58527</wp:posOffset>
              </wp:positionV>
              <wp:extent cx="6407785" cy="202565"/>
              <wp:effectExtent l="0" t="0" r="0" b="6985"/>
              <wp:wrapSquare wrapText="bothSides"/>
              <wp:docPr id="6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77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96175">
          <w:rPr>
            <w:rFonts w:ascii="Arial" w:hAnsi="Arial" w:cs="Arial"/>
            <w:sz w:val="12"/>
          </w:rPr>
          <w:tab/>
        </w:r>
        <w:r w:rsidR="00396175" w:rsidRPr="00F049B7">
          <w:rPr>
            <w:rFonts w:ascii="Arial" w:hAnsi="Arial" w:cs="Arial"/>
          </w:rPr>
          <w:fldChar w:fldCharType="begin"/>
        </w:r>
        <w:r w:rsidR="00396175" w:rsidRPr="00F049B7">
          <w:rPr>
            <w:rFonts w:ascii="Arial" w:hAnsi="Arial" w:cs="Arial"/>
          </w:rPr>
          <w:instrText xml:space="preserve"> PAGE  \* Arabic  \* MERGEFORMAT </w:instrText>
        </w:r>
        <w:r w:rsidR="00396175" w:rsidRPr="00F049B7">
          <w:rPr>
            <w:rFonts w:ascii="Arial" w:hAnsi="Arial" w:cs="Arial"/>
          </w:rPr>
          <w:fldChar w:fldCharType="separate"/>
        </w:r>
        <w:r w:rsidR="00CA159D">
          <w:rPr>
            <w:rFonts w:ascii="Arial" w:hAnsi="Arial" w:cs="Arial"/>
            <w:noProof/>
          </w:rPr>
          <w:t>2</w:t>
        </w:r>
        <w:r w:rsidR="00396175" w:rsidRPr="00F049B7">
          <w:rPr>
            <w:rFonts w:ascii="Arial" w:hAnsi="Arial"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A823" w14:textId="77777777" w:rsidR="008B190F" w:rsidRPr="00A71D4C" w:rsidRDefault="008B190F">
    <w:pPr>
      <w:pStyle w:val="Pieddepage"/>
      <w:rPr>
        <w:rFonts w:ascii="Arial" w:hAnsi="Arial" w:cs="Arial"/>
        <w:caps/>
        <w:color w:val="5B9BD5" w:themeColor="accent1"/>
        <w:sz w:val="16"/>
        <w:szCs w:val="16"/>
      </w:rPr>
    </w:pPr>
    <w:r w:rsidRPr="00A71D4C">
      <w:rPr>
        <w:rFonts w:ascii="Arial" w:hAnsi="Arial" w:cs="Arial"/>
        <w:caps/>
        <w:color w:val="5B9BD5" w:themeColor="accent1"/>
        <w:sz w:val="16"/>
        <w:szCs w:val="16"/>
      </w:rPr>
      <w:fldChar w:fldCharType="begin"/>
    </w:r>
    <w:r w:rsidRPr="00A71D4C">
      <w:rPr>
        <w:rFonts w:ascii="Arial" w:hAnsi="Arial" w:cs="Arial"/>
        <w:caps/>
        <w:color w:val="5B9BD5" w:themeColor="accent1"/>
        <w:sz w:val="16"/>
        <w:szCs w:val="16"/>
      </w:rPr>
      <w:instrText>PAGE   \* MERGEFORMAT</w:instrText>
    </w:r>
    <w:r w:rsidRPr="00A71D4C">
      <w:rPr>
        <w:rFonts w:ascii="Arial" w:hAnsi="Arial" w:cs="Arial"/>
        <w:caps/>
        <w:color w:val="5B9BD5" w:themeColor="accent1"/>
        <w:sz w:val="16"/>
        <w:szCs w:val="16"/>
      </w:rPr>
      <w:fldChar w:fldCharType="separate"/>
    </w:r>
    <w:r w:rsidR="00164609" w:rsidRPr="00164609">
      <w:rPr>
        <w:rFonts w:ascii="Arial" w:hAnsi="Arial" w:cs="Arial"/>
        <w:caps/>
        <w:noProof/>
        <w:color w:val="5B9BD5" w:themeColor="accent1"/>
        <w:sz w:val="16"/>
        <w:szCs w:val="16"/>
        <w:lang w:val="fr-FR"/>
      </w:rPr>
      <w:t>1</w:t>
    </w:r>
    <w:r w:rsidRPr="00A71D4C">
      <w:rPr>
        <w:rFonts w:ascii="Arial" w:hAnsi="Arial" w:cs="Arial"/>
        <w:caps/>
        <w:color w:val="5B9BD5" w:themeColor="accen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938C" w14:textId="77777777" w:rsidR="001C1EDC" w:rsidRDefault="001C1EDC" w:rsidP="00254521">
      <w:pPr>
        <w:spacing w:after="0" w:line="240" w:lineRule="auto"/>
      </w:pPr>
      <w:r>
        <w:separator/>
      </w:r>
    </w:p>
  </w:footnote>
  <w:footnote w:type="continuationSeparator" w:id="0">
    <w:p w14:paraId="3FCFBA7F" w14:textId="77777777" w:rsidR="001C1EDC" w:rsidRDefault="001C1EDC" w:rsidP="00254521">
      <w:pPr>
        <w:spacing w:after="0" w:line="240" w:lineRule="auto"/>
      </w:pPr>
      <w:r>
        <w:continuationSeparator/>
      </w:r>
    </w:p>
  </w:footnote>
  <w:footnote w:type="continuationNotice" w:id="1">
    <w:p w14:paraId="6EDA0101" w14:textId="77777777" w:rsidR="00766D20" w:rsidRDefault="00766D20">
      <w:pPr>
        <w:spacing w:after="0" w:line="240" w:lineRule="auto"/>
      </w:pPr>
    </w:p>
  </w:footnote>
  <w:footnote w:id="2">
    <w:p w14:paraId="3D94A82A" w14:textId="77777777" w:rsidR="00470460" w:rsidRDefault="00470460" w:rsidP="00353B2F">
      <w:pPr>
        <w:pStyle w:val="Notedebasdepage"/>
        <w:spacing w:after="120"/>
      </w:pPr>
      <w:r w:rsidRPr="00113EE3">
        <w:rPr>
          <w:rStyle w:val="Appelnotedebasdep"/>
          <w:sz w:val="18"/>
          <w:szCs w:val="18"/>
        </w:rPr>
        <w:footnoteRef/>
      </w:r>
      <w:r w:rsidRPr="00113EE3">
        <w:rPr>
          <w:sz w:val="18"/>
          <w:szCs w:val="18"/>
        </w:rPr>
        <w:t xml:space="preserve"> La date de fin doit correspondre à la date de dépôt du livrable de la phase visée. Il n’y a pas de livrable à déposer pour la phase implantation.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A820" w14:textId="77777777" w:rsidR="00164609" w:rsidRDefault="001646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A822" w14:textId="77777777" w:rsidR="008B190F" w:rsidRDefault="008B190F" w:rsidP="00E04E38">
    <w:pPr>
      <w:pStyle w:val="En-tte"/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46F"/>
    <w:multiLevelType w:val="hybridMultilevel"/>
    <w:tmpl w:val="BEF8DD12"/>
    <w:lvl w:ilvl="0" w:tplc="8B8E642E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7A1E"/>
    <w:multiLevelType w:val="hybridMultilevel"/>
    <w:tmpl w:val="82742E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06BC4"/>
    <w:multiLevelType w:val="hybridMultilevel"/>
    <w:tmpl w:val="F6164528"/>
    <w:lvl w:ilvl="0" w:tplc="9956F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19C6"/>
    <w:multiLevelType w:val="hybridMultilevel"/>
    <w:tmpl w:val="C8B2D9C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4F0C4E"/>
    <w:multiLevelType w:val="hybridMultilevel"/>
    <w:tmpl w:val="60703D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6C75"/>
    <w:multiLevelType w:val="hybridMultilevel"/>
    <w:tmpl w:val="AFDAD602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612DF"/>
    <w:multiLevelType w:val="hybridMultilevel"/>
    <w:tmpl w:val="6980D64A"/>
    <w:lvl w:ilvl="0" w:tplc="8B8E642E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8A26F5"/>
    <w:multiLevelType w:val="hybridMultilevel"/>
    <w:tmpl w:val="A0185F4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B85361"/>
    <w:multiLevelType w:val="hybridMultilevel"/>
    <w:tmpl w:val="11426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6732C"/>
    <w:multiLevelType w:val="hybridMultilevel"/>
    <w:tmpl w:val="693EE82C"/>
    <w:lvl w:ilvl="0" w:tplc="8B8E642E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622ECB"/>
    <w:multiLevelType w:val="hybridMultilevel"/>
    <w:tmpl w:val="BD3055C4"/>
    <w:lvl w:ilvl="0" w:tplc="0C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F484F"/>
    <w:multiLevelType w:val="hybridMultilevel"/>
    <w:tmpl w:val="6F2ECC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448077">
    <w:abstractNumId w:val="4"/>
  </w:num>
  <w:num w:numId="2" w16cid:durableId="986131176">
    <w:abstractNumId w:val="7"/>
  </w:num>
  <w:num w:numId="3" w16cid:durableId="583803601">
    <w:abstractNumId w:val="11"/>
  </w:num>
  <w:num w:numId="4" w16cid:durableId="146945307">
    <w:abstractNumId w:val="0"/>
  </w:num>
  <w:num w:numId="5" w16cid:durableId="181822828">
    <w:abstractNumId w:val="5"/>
  </w:num>
  <w:num w:numId="6" w16cid:durableId="478545840">
    <w:abstractNumId w:val="10"/>
  </w:num>
  <w:num w:numId="7" w16cid:durableId="280264464">
    <w:abstractNumId w:val="9"/>
  </w:num>
  <w:num w:numId="8" w16cid:durableId="1000079982">
    <w:abstractNumId w:val="6"/>
  </w:num>
  <w:num w:numId="9" w16cid:durableId="77603368">
    <w:abstractNumId w:val="8"/>
  </w:num>
  <w:num w:numId="10" w16cid:durableId="1638410635">
    <w:abstractNumId w:val="3"/>
  </w:num>
  <w:num w:numId="11" w16cid:durableId="975332906">
    <w:abstractNumId w:val="1"/>
  </w:num>
  <w:num w:numId="12" w16cid:durableId="1818375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6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20"/>
    <w:rsid w:val="0003225C"/>
    <w:rsid w:val="00125B3C"/>
    <w:rsid w:val="00164609"/>
    <w:rsid w:val="0016754C"/>
    <w:rsid w:val="00186FCD"/>
    <w:rsid w:val="001C1EDC"/>
    <w:rsid w:val="001E0BE6"/>
    <w:rsid w:val="002228C2"/>
    <w:rsid w:val="00254521"/>
    <w:rsid w:val="00260155"/>
    <w:rsid w:val="00265E3A"/>
    <w:rsid w:val="00293CDA"/>
    <w:rsid w:val="002B0114"/>
    <w:rsid w:val="002C6F94"/>
    <w:rsid w:val="002E5DD1"/>
    <w:rsid w:val="00353B2F"/>
    <w:rsid w:val="003922E1"/>
    <w:rsid w:val="00396175"/>
    <w:rsid w:val="00424D13"/>
    <w:rsid w:val="00470460"/>
    <w:rsid w:val="004B04B0"/>
    <w:rsid w:val="004B3E00"/>
    <w:rsid w:val="005566C3"/>
    <w:rsid w:val="005612FB"/>
    <w:rsid w:val="00572715"/>
    <w:rsid w:val="00581A50"/>
    <w:rsid w:val="005B3075"/>
    <w:rsid w:val="005C5265"/>
    <w:rsid w:val="005D1F30"/>
    <w:rsid w:val="005D690A"/>
    <w:rsid w:val="006011C9"/>
    <w:rsid w:val="00607424"/>
    <w:rsid w:val="00617CF8"/>
    <w:rsid w:val="00621A56"/>
    <w:rsid w:val="00623F0D"/>
    <w:rsid w:val="00647138"/>
    <w:rsid w:val="006515E5"/>
    <w:rsid w:val="00653882"/>
    <w:rsid w:val="00662464"/>
    <w:rsid w:val="006924C8"/>
    <w:rsid w:val="006C3A8F"/>
    <w:rsid w:val="0072725D"/>
    <w:rsid w:val="00736332"/>
    <w:rsid w:val="00736D06"/>
    <w:rsid w:val="00766D20"/>
    <w:rsid w:val="00791936"/>
    <w:rsid w:val="007B2FA9"/>
    <w:rsid w:val="007D42FB"/>
    <w:rsid w:val="007F16EA"/>
    <w:rsid w:val="00856DFE"/>
    <w:rsid w:val="008B190F"/>
    <w:rsid w:val="008D7363"/>
    <w:rsid w:val="008F1A49"/>
    <w:rsid w:val="00907E0E"/>
    <w:rsid w:val="00950E00"/>
    <w:rsid w:val="00994CBA"/>
    <w:rsid w:val="009C2840"/>
    <w:rsid w:val="009E4F52"/>
    <w:rsid w:val="00A10816"/>
    <w:rsid w:val="00A173EA"/>
    <w:rsid w:val="00A25220"/>
    <w:rsid w:val="00A26910"/>
    <w:rsid w:val="00A625C3"/>
    <w:rsid w:val="00A71D4C"/>
    <w:rsid w:val="00A90F5A"/>
    <w:rsid w:val="00AC6C18"/>
    <w:rsid w:val="00B243F7"/>
    <w:rsid w:val="00B33062"/>
    <w:rsid w:val="00B716D0"/>
    <w:rsid w:val="00B948FC"/>
    <w:rsid w:val="00BB4295"/>
    <w:rsid w:val="00BE76C7"/>
    <w:rsid w:val="00C00F1C"/>
    <w:rsid w:val="00C04FED"/>
    <w:rsid w:val="00C2079D"/>
    <w:rsid w:val="00C27221"/>
    <w:rsid w:val="00C53405"/>
    <w:rsid w:val="00C6145B"/>
    <w:rsid w:val="00C67519"/>
    <w:rsid w:val="00CA159D"/>
    <w:rsid w:val="00CD08A5"/>
    <w:rsid w:val="00D07873"/>
    <w:rsid w:val="00D31F21"/>
    <w:rsid w:val="00D40B40"/>
    <w:rsid w:val="00D64C4B"/>
    <w:rsid w:val="00D67AF2"/>
    <w:rsid w:val="00DD09E0"/>
    <w:rsid w:val="00DF35D8"/>
    <w:rsid w:val="00E04E38"/>
    <w:rsid w:val="00E26B53"/>
    <w:rsid w:val="00E32BFF"/>
    <w:rsid w:val="00E3649E"/>
    <w:rsid w:val="00F049B7"/>
    <w:rsid w:val="00F05EEF"/>
    <w:rsid w:val="00F27976"/>
    <w:rsid w:val="00FB3928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94A755"/>
  <w15:chartTrackingRefBased/>
  <w15:docId w15:val="{68C6A1D1-7A06-49A3-B4FF-3D54D806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71D4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1D4C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1D4C"/>
    <w:pPr>
      <w:keepNext/>
      <w:keepLines/>
      <w:spacing w:before="40" w:after="0"/>
      <w:ind w:left="360"/>
      <w:outlineLvl w:val="2"/>
    </w:pPr>
    <w:rPr>
      <w:rFonts w:ascii="Arial" w:eastAsiaTheme="majorEastAsia" w:hAnsi="Arial" w:cstheme="majorBidi"/>
      <w:color w:val="1F4D78" w:themeColor="accent1" w:themeShade="7F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45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52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545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521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A71D4C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A71D4C"/>
    <w:rPr>
      <w:rFonts w:ascii="Arial" w:eastAsiaTheme="majorEastAsia" w:hAnsi="Arial" w:cstheme="majorBidi"/>
      <w:b/>
      <w:sz w:val="22"/>
      <w:szCs w:val="26"/>
      <w:lang w:eastAsia="en-US"/>
    </w:rPr>
  </w:style>
  <w:style w:type="character" w:styleId="Marquedecommentaire">
    <w:name w:val="annotation reference"/>
    <w:uiPriority w:val="99"/>
    <w:semiHidden/>
    <w:unhideWhenUsed/>
    <w:rsid w:val="002545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45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4521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521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254521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54521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2545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5452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254521"/>
    <w:rPr>
      <w:color w:val="0563C1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7363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7363"/>
    <w:rPr>
      <w:b/>
      <w:bCs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71D4C"/>
    <w:rPr>
      <w:rFonts w:ascii="Arial" w:eastAsiaTheme="majorEastAsia" w:hAnsi="Arial" w:cstheme="majorBidi"/>
      <w:color w:val="1F4D78" w:themeColor="accent1" w:themeShade="7F"/>
      <w:szCs w:val="24"/>
      <w:lang w:eastAsia="en-US"/>
    </w:rPr>
  </w:style>
  <w:style w:type="paragraph" w:styleId="Sansinterligne">
    <w:name w:val="No Spacing"/>
    <w:uiPriority w:val="1"/>
    <w:qFormat/>
    <w:rsid w:val="00C00F1C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71D4C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922E1"/>
    <w:pPr>
      <w:spacing w:after="100"/>
      <w:ind w:left="440"/>
    </w:pPr>
  </w:style>
  <w:style w:type="table" w:styleId="Grilledutableau">
    <w:name w:val="Table Grid"/>
    <w:basedOn w:val="TableauNormal"/>
    <w:uiPriority w:val="39"/>
    <w:rsid w:val="0039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470460"/>
    <w:pPr>
      <w:spacing w:after="0" w:line="240" w:lineRule="auto"/>
      <w:jc w:val="both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NotedebasdepageCar">
    <w:name w:val="Note de bas de page Car"/>
    <w:basedOn w:val="Policepardfaut"/>
    <w:link w:val="Notedebasdepage"/>
    <w:semiHidden/>
    <w:rsid w:val="00470460"/>
    <w:rPr>
      <w:rFonts w:ascii="Arial" w:eastAsia="MS Mincho" w:hAnsi="Arial" w:cs="Arial"/>
      <w:lang w:eastAsia="ja-JP"/>
    </w:rPr>
  </w:style>
  <w:style w:type="character" w:styleId="Appelnotedebasdep">
    <w:name w:val="footnote reference"/>
    <w:semiHidden/>
    <w:rsid w:val="00470460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9E4F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E0B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transitionenergetique.affaires@mern.gouv.qc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tif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F1147A4CDC4488B4376331AD2166" ma:contentTypeVersion="18" ma:contentTypeDescription="Crée un document." ma:contentTypeScope="" ma:versionID="be3444b4c4671bd03efac1f1c9cd259a">
  <xsd:schema xmlns:xsd="http://www.w3.org/2001/XMLSchema" xmlns:xs="http://www.w3.org/2001/XMLSchema" xmlns:p="http://schemas.microsoft.com/office/2006/metadata/properties" xmlns:ns2="41851184-4b28-4196-a3fe-31116a3345ac" xmlns:ns3="a3d363c2-ac57-4088-9970-e55a9ff5228c" targetNamespace="http://schemas.microsoft.com/office/2006/metadata/properties" ma:root="true" ma:fieldsID="909bbcf6116b8f9ba32ce9106328f3ec" ns2:_="" ns3:_="">
    <xsd:import namespace="41851184-4b28-4196-a3fe-31116a3345ac"/>
    <xsd:import namespace="a3d363c2-ac57-4088-9970-e55a9ff522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184-4b28-4196-a3fe-31116a33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cc1a74-d0ef-4d38-95b2-c7e15ae5ba8c}" ma:internalName="TaxCatchAll" ma:showField="CatchAllData" ma:web="41851184-4b28-4196-a3fe-31116a334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63c2-ac57-4088-9970-e55a9ff522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État de validation" ma:internalName="_x00c9_tat_x0020_de_x0020_validat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363c2-ac57-4088-9970-e55a9ff5228c">
      <Terms xmlns="http://schemas.microsoft.com/office/infopath/2007/PartnerControls"/>
    </lcf76f155ced4ddcb4097134ff3c332f>
    <TaxCatchAll xmlns="41851184-4b28-4196-a3fe-31116a3345ac" xsi:nil="true"/>
    <_Flow_SignoffStatus xmlns="a3d363c2-ac57-4088-9970-e55a9ff5228c" xsi:nil="true"/>
  </documentManagement>
</p:properties>
</file>

<file path=customXml/itemProps1.xml><?xml version="1.0" encoding="utf-8"?>
<ds:datastoreItem xmlns:ds="http://schemas.openxmlformats.org/officeDocument/2006/customXml" ds:itemID="{24009C4E-B486-4FA1-829C-A893B2D4D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4AB80-3743-42FF-BAB6-A3B444E833B1}"/>
</file>

<file path=customXml/itemProps3.xml><?xml version="1.0" encoding="utf-8"?>
<ds:datastoreItem xmlns:ds="http://schemas.openxmlformats.org/officeDocument/2006/customXml" ds:itemID="{71906630-41DC-4202-847F-A71BDC3799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067CC-9BA6-4AD6-A23B-FECB829C2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d'analyse - Investigation - Projet de remise au point des systèmes mécaniques des bâtiments - Volet analyse - Programme ÉcoPerformance</vt:lpstr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d'analyse - Investigation - Projet de remise au point des systèmes mécaniques des bâtiments - Volet analyse - Programme ÉcoPerformance</dc:title>
  <dc:subject>Programme ÉcoPerformance</dc:subject>
  <dc:creator/>
  <cp:keywords>Rapport, remise au point des systèmes mécaniques, RCx, volet analyse, programme ÉcoPerformance</cp:keywords>
  <dc:description/>
  <cp:lastModifiedBy>Josiane</cp:lastModifiedBy>
  <cp:revision>17</cp:revision>
  <cp:lastPrinted>2015-10-21T13:27:00Z</cp:lastPrinted>
  <dcterms:created xsi:type="dcterms:W3CDTF">2021-01-18T18:05:00Z</dcterms:created>
  <dcterms:modified xsi:type="dcterms:W3CDTF">2023-10-16T15:02:00Z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0x01010030B8F1147A4CDC4488B4376331AD2166</vt:lpwstr>
  </property>
  <property fmtid="{D5CDD505-2E9C-101B-9397-08002B2CF9AE}" pid="3" name="MediaServiceImageTags">
    <vt:lpwstr/>
  </property>
</Properties>
</file>